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3CC389">
      <w:pPr>
        <w:jc w:val="center"/>
        <w:rPr>
          <w:rFonts w:hint="eastAsia" w:ascii="楷体" w:hAnsi="楷体" w:eastAsia="楷体"/>
          <w:b/>
          <w:sz w:val="52"/>
          <w:szCs w:val="52"/>
        </w:rPr>
      </w:pPr>
      <w:bookmarkStart w:id="1" w:name="_GoBack"/>
      <w:bookmarkEnd w:id="1"/>
    </w:p>
    <w:p w14:paraId="11D13894">
      <w:pPr>
        <w:jc w:val="center"/>
        <w:rPr>
          <w:rFonts w:hint="eastAsia" w:ascii="楷体" w:hAnsi="楷体" w:eastAsia="楷体"/>
          <w:b/>
          <w:sz w:val="52"/>
          <w:szCs w:val="52"/>
        </w:rPr>
      </w:pPr>
    </w:p>
    <w:p w14:paraId="78D89FA9">
      <w:pPr>
        <w:jc w:val="center"/>
        <w:rPr>
          <w:rFonts w:hint="eastAsia" w:ascii="楷体" w:hAnsi="楷体" w:eastAsia="楷体"/>
          <w:b/>
          <w:sz w:val="52"/>
          <w:szCs w:val="52"/>
        </w:rPr>
      </w:pPr>
    </w:p>
    <w:p w14:paraId="5560D3FE">
      <w:pPr>
        <w:jc w:val="center"/>
        <w:rPr>
          <w:rFonts w:hint="eastAsia" w:ascii="楷体" w:hAnsi="楷体" w:eastAsia="楷体"/>
          <w:b/>
          <w:sz w:val="52"/>
          <w:szCs w:val="52"/>
        </w:rPr>
      </w:pPr>
    </w:p>
    <w:p w14:paraId="0B8F9D72">
      <w:pPr>
        <w:jc w:val="center"/>
        <w:rPr>
          <w:rFonts w:hint="eastAsia" w:ascii="楷体" w:hAnsi="楷体" w:eastAsia="楷体"/>
          <w:b/>
          <w:sz w:val="52"/>
          <w:szCs w:val="52"/>
          <w:lang w:eastAsia="zh-CN"/>
        </w:rPr>
      </w:pPr>
      <w:r>
        <w:rPr>
          <w:rFonts w:hint="eastAsia" w:ascii="楷体" w:hAnsi="楷体" w:eastAsia="楷体"/>
          <w:b/>
          <w:sz w:val="52"/>
          <w:szCs w:val="52"/>
        </w:rPr>
        <w:t>沈阳市</w:t>
      </w:r>
      <w:r>
        <w:rPr>
          <w:rFonts w:hint="eastAsia" w:ascii="楷体" w:hAnsi="楷体" w:eastAsia="楷体"/>
          <w:b/>
          <w:sz w:val="52"/>
          <w:szCs w:val="52"/>
          <w:lang w:eastAsia="zh-CN"/>
        </w:rPr>
        <w:t>浑南区高坎街道办事处</w:t>
      </w:r>
    </w:p>
    <w:p w14:paraId="21130C15">
      <w:pPr>
        <w:jc w:val="center"/>
        <w:rPr>
          <w:rFonts w:hint="eastAsia" w:ascii="楷体" w:hAnsi="楷体" w:eastAsia="楷体"/>
          <w:b/>
          <w:sz w:val="52"/>
          <w:szCs w:val="52"/>
          <w:lang w:val="en-US" w:eastAsia="zh-CN"/>
        </w:rPr>
      </w:pPr>
      <w:r>
        <w:rPr>
          <w:rFonts w:hint="eastAsia" w:ascii="楷体" w:hAnsi="楷体" w:eastAsia="楷体"/>
          <w:b/>
          <w:sz w:val="52"/>
          <w:szCs w:val="52"/>
        </w:rPr>
        <w:t>2021年部门预算</w:t>
      </w:r>
      <w:r>
        <w:rPr>
          <w:rFonts w:hint="eastAsia" w:ascii="楷体" w:hAnsi="楷体" w:eastAsia="楷体"/>
          <w:b/>
          <w:sz w:val="52"/>
          <w:szCs w:val="52"/>
          <w:lang w:val="en-US" w:eastAsia="zh-CN"/>
        </w:rPr>
        <w:t xml:space="preserve"> </w:t>
      </w:r>
    </w:p>
    <w:p w14:paraId="208978D7">
      <w:pPr>
        <w:jc w:val="center"/>
        <w:rPr>
          <w:rFonts w:hint="eastAsia" w:ascii="楷体" w:hAnsi="楷体" w:eastAsia="楷体"/>
          <w:b/>
          <w:sz w:val="52"/>
          <w:szCs w:val="52"/>
        </w:rPr>
      </w:pPr>
      <w:r>
        <w:rPr>
          <w:rFonts w:hint="eastAsia" w:ascii="楷体" w:hAnsi="楷体" w:eastAsia="楷体"/>
          <w:b/>
          <w:sz w:val="52"/>
          <w:szCs w:val="52"/>
        </w:rPr>
        <w:t>（含“三公”经费预算）</w:t>
      </w:r>
    </w:p>
    <w:p w14:paraId="07A831C1">
      <w:pPr>
        <w:jc w:val="center"/>
        <w:rPr>
          <w:rFonts w:hint="eastAsia" w:ascii="楷体" w:hAnsi="楷体" w:eastAsia="楷体"/>
          <w:b/>
          <w:sz w:val="52"/>
          <w:szCs w:val="52"/>
        </w:rPr>
      </w:pPr>
    </w:p>
    <w:p w14:paraId="11FB9C0C">
      <w:pPr>
        <w:jc w:val="center"/>
        <w:rPr>
          <w:rFonts w:hint="eastAsia"/>
          <w:b/>
          <w:sz w:val="44"/>
          <w:szCs w:val="44"/>
          <w:u w:val="single"/>
        </w:rPr>
      </w:pPr>
    </w:p>
    <w:p w14:paraId="3837D730">
      <w:pPr>
        <w:jc w:val="center"/>
        <w:rPr>
          <w:rFonts w:hint="eastAsia"/>
          <w:b/>
          <w:sz w:val="44"/>
          <w:szCs w:val="44"/>
          <w:u w:val="single"/>
        </w:rPr>
      </w:pPr>
    </w:p>
    <w:p w14:paraId="61AA240F">
      <w:pPr>
        <w:jc w:val="center"/>
        <w:rPr>
          <w:rFonts w:hint="eastAsia"/>
          <w:b/>
          <w:sz w:val="44"/>
          <w:szCs w:val="44"/>
          <w:u w:val="single"/>
        </w:rPr>
      </w:pPr>
    </w:p>
    <w:p w14:paraId="35B641D8">
      <w:pPr>
        <w:jc w:val="center"/>
        <w:rPr>
          <w:rFonts w:hint="eastAsia"/>
          <w:b/>
          <w:sz w:val="44"/>
          <w:szCs w:val="44"/>
          <w:u w:val="single"/>
        </w:rPr>
      </w:pPr>
    </w:p>
    <w:p w14:paraId="2DAEEE8C">
      <w:pPr>
        <w:jc w:val="center"/>
        <w:rPr>
          <w:rFonts w:hint="eastAsia"/>
          <w:b/>
          <w:sz w:val="44"/>
          <w:szCs w:val="44"/>
          <w:u w:val="single"/>
        </w:rPr>
      </w:pPr>
    </w:p>
    <w:p w14:paraId="6079F9CF">
      <w:pPr>
        <w:jc w:val="center"/>
        <w:rPr>
          <w:rFonts w:hint="eastAsia"/>
          <w:b/>
          <w:sz w:val="44"/>
          <w:szCs w:val="44"/>
          <w:u w:val="single"/>
        </w:rPr>
      </w:pPr>
    </w:p>
    <w:p w14:paraId="2E22E9C9">
      <w:pPr>
        <w:jc w:val="center"/>
        <w:rPr>
          <w:rFonts w:hint="eastAsia"/>
          <w:b/>
          <w:sz w:val="44"/>
          <w:szCs w:val="44"/>
          <w:u w:val="single"/>
        </w:rPr>
      </w:pPr>
    </w:p>
    <w:p w14:paraId="38DF0F8F">
      <w:pPr>
        <w:jc w:val="center"/>
        <w:rPr>
          <w:rFonts w:hint="eastAsia"/>
          <w:b/>
          <w:sz w:val="44"/>
          <w:szCs w:val="44"/>
          <w:u w:val="single"/>
        </w:rPr>
      </w:pPr>
    </w:p>
    <w:p w14:paraId="74E162B6">
      <w:pPr>
        <w:jc w:val="center"/>
        <w:rPr>
          <w:rFonts w:hint="eastAsia"/>
          <w:b/>
          <w:sz w:val="44"/>
          <w:szCs w:val="44"/>
          <w:u w:val="single"/>
        </w:rPr>
      </w:pPr>
    </w:p>
    <w:p w14:paraId="11CBD445">
      <w:pPr>
        <w:rPr>
          <w:rFonts w:hint="eastAsia"/>
          <w:b/>
          <w:sz w:val="44"/>
          <w:szCs w:val="44"/>
        </w:rPr>
      </w:pPr>
    </w:p>
    <w:p w14:paraId="4F0E308B">
      <w:pPr>
        <w:jc w:val="center"/>
        <w:rPr>
          <w:rFonts w:hint="eastAsia"/>
          <w:b/>
          <w:sz w:val="44"/>
          <w:szCs w:val="44"/>
        </w:rPr>
      </w:pPr>
      <w:r>
        <w:rPr>
          <w:rFonts w:hint="eastAsia"/>
          <w:b/>
          <w:sz w:val="44"/>
          <w:szCs w:val="44"/>
        </w:rPr>
        <w:t>目    录</w:t>
      </w:r>
    </w:p>
    <w:p w14:paraId="42A6702B">
      <w:pPr>
        <w:rPr>
          <w:rFonts w:hint="eastAsia"/>
          <w:b/>
          <w:sz w:val="44"/>
          <w:szCs w:val="44"/>
          <w:u w:val="single"/>
        </w:rPr>
      </w:pPr>
    </w:p>
    <w:p w14:paraId="3D60F330">
      <w:pPr>
        <w:rPr>
          <w:rFonts w:hint="eastAsia" w:ascii="黑体" w:hAnsi="黑体" w:eastAsia="黑体"/>
          <w:sz w:val="32"/>
          <w:szCs w:val="32"/>
        </w:rPr>
      </w:pPr>
      <w:r>
        <w:rPr>
          <w:rFonts w:hint="eastAsia" w:ascii="黑体" w:hAnsi="黑体" w:eastAsia="黑体"/>
          <w:sz w:val="32"/>
          <w:szCs w:val="32"/>
        </w:rPr>
        <w:t>第一部分    沈阳市</w:t>
      </w:r>
      <w:r>
        <w:rPr>
          <w:rFonts w:hint="eastAsia" w:ascii="黑体" w:hAnsi="黑体" w:eastAsia="黑体"/>
          <w:sz w:val="32"/>
          <w:szCs w:val="32"/>
          <w:lang w:eastAsia="zh-CN"/>
        </w:rPr>
        <w:t>浑南区高坎街道办事处</w:t>
      </w:r>
      <w:r>
        <w:rPr>
          <w:rFonts w:hint="eastAsia" w:ascii="黑体" w:hAnsi="黑体" w:eastAsia="黑体"/>
          <w:sz w:val="32"/>
          <w:szCs w:val="32"/>
        </w:rPr>
        <w:t>概况</w:t>
      </w:r>
    </w:p>
    <w:p w14:paraId="234F6E7A">
      <w:pPr>
        <w:numPr>
          <w:ilvl w:val="0"/>
          <w:numId w:val="1"/>
        </w:numPr>
        <w:rPr>
          <w:rFonts w:hint="eastAsia" w:ascii="仿宋_GB2312" w:hAnsi="黑体" w:eastAsia="仿宋_GB2312"/>
          <w:sz w:val="32"/>
          <w:szCs w:val="32"/>
        </w:rPr>
      </w:pPr>
      <w:r>
        <w:rPr>
          <w:rFonts w:hint="eastAsia" w:ascii="仿宋_GB2312" w:hAnsi="黑体" w:eastAsia="仿宋_GB2312"/>
          <w:sz w:val="32"/>
          <w:szCs w:val="32"/>
        </w:rPr>
        <w:t>主要职责</w:t>
      </w:r>
    </w:p>
    <w:p w14:paraId="38670399">
      <w:pPr>
        <w:numPr>
          <w:ilvl w:val="0"/>
          <w:numId w:val="1"/>
        </w:numPr>
        <w:rPr>
          <w:rFonts w:hint="eastAsia" w:ascii="仿宋_GB2312" w:hAnsi="黑体" w:eastAsia="仿宋_GB2312"/>
          <w:sz w:val="32"/>
          <w:szCs w:val="32"/>
        </w:rPr>
      </w:pPr>
      <w:r>
        <w:rPr>
          <w:rFonts w:hint="eastAsia" w:ascii="仿宋_GB2312" w:hAnsi="黑体" w:eastAsia="仿宋_GB2312"/>
          <w:sz w:val="32"/>
          <w:szCs w:val="32"/>
        </w:rPr>
        <w:t>部门预算单位构成</w:t>
      </w:r>
    </w:p>
    <w:p w14:paraId="2F305158">
      <w:pPr>
        <w:rPr>
          <w:rFonts w:hint="eastAsia" w:ascii="黑体" w:hAnsi="黑体" w:eastAsia="黑体"/>
          <w:sz w:val="32"/>
          <w:szCs w:val="32"/>
        </w:rPr>
      </w:pPr>
      <w:r>
        <w:rPr>
          <w:rFonts w:hint="eastAsia" w:ascii="黑体" w:hAnsi="黑体" w:eastAsia="黑体"/>
          <w:sz w:val="32"/>
          <w:szCs w:val="32"/>
        </w:rPr>
        <w:t>第二部分    沈阳市</w:t>
      </w:r>
      <w:r>
        <w:rPr>
          <w:rFonts w:hint="eastAsia" w:ascii="黑体" w:hAnsi="黑体" w:eastAsia="黑体"/>
          <w:sz w:val="32"/>
          <w:szCs w:val="32"/>
          <w:lang w:eastAsia="zh-CN"/>
        </w:rPr>
        <w:t>浑南区高坎街道办事处</w:t>
      </w:r>
      <w:r>
        <w:rPr>
          <w:rFonts w:hint="eastAsia" w:ascii="黑体" w:hAnsi="黑体" w:eastAsia="黑体"/>
          <w:sz w:val="32"/>
          <w:szCs w:val="32"/>
        </w:rPr>
        <w:t>2021年部门预算公开表</w:t>
      </w:r>
    </w:p>
    <w:p w14:paraId="40593E06">
      <w:pPr>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表1.部门收支总表</w:t>
      </w:r>
    </w:p>
    <w:p w14:paraId="65CD9597">
      <w:pPr>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表2.</w:t>
      </w:r>
      <w:r>
        <w:rPr>
          <w:rFonts w:hint="eastAsia" w:ascii="仿宋_GB2312" w:hAnsi="仿宋_GB2312" w:eastAsia="仿宋_GB2312" w:cs="仿宋_GB2312"/>
          <w:sz w:val="32"/>
          <w:szCs w:val="32"/>
          <w:highlight w:val="none"/>
          <w:lang w:eastAsia="zh-CN"/>
        </w:rPr>
        <w:t>部门收入总表</w:t>
      </w:r>
    </w:p>
    <w:p w14:paraId="7CA746A1">
      <w:pPr>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eastAsia="zh-CN"/>
        </w:rPr>
        <w:t>表</w:t>
      </w:r>
      <w:r>
        <w:rPr>
          <w:rFonts w:hint="eastAsia" w:ascii="仿宋_GB2312" w:hAnsi="仿宋_GB2312" w:eastAsia="仿宋_GB2312" w:cs="仿宋_GB2312"/>
          <w:sz w:val="32"/>
          <w:szCs w:val="32"/>
          <w:highlight w:val="none"/>
          <w:lang w:val="en-US" w:eastAsia="zh-CN"/>
        </w:rPr>
        <w:t>3.部门支出总表</w:t>
      </w:r>
    </w:p>
    <w:p w14:paraId="235E6CF4">
      <w:pPr>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表4.财政拨款收支总表</w:t>
      </w:r>
    </w:p>
    <w:p w14:paraId="0C26A065">
      <w:pPr>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表5.一般公共预算支出表</w:t>
      </w:r>
    </w:p>
    <w:p w14:paraId="3E8520A5">
      <w:pPr>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表6.预算</w:t>
      </w:r>
      <w:r>
        <w:rPr>
          <w:rFonts w:hint="eastAsia" w:ascii="仿宋_GB2312" w:hAnsi="仿宋_GB2312" w:eastAsia="仿宋_GB2312" w:cs="仿宋_GB2312"/>
          <w:sz w:val="32"/>
          <w:szCs w:val="32"/>
          <w:highlight w:val="none"/>
          <w:lang w:eastAsia="zh-CN"/>
        </w:rPr>
        <w:t>内财力</w:t>
      </w:r>
      <w:r>
        <w:rPr>
          <w:rFonts w:hint="eastAsia" w:ascii="仿宋_GB2312" w:hAnsi="仿宋_GB2312" w:eastAsia="仿宋_GB2312" w:cs="仿宋_GB2312"/>
          <w:sz w:val="32"/>
          <w:szCs w:val="32"/>
          <w:highlight w:val="none"/>
        </w:rPr>
        <w:t>支出</w:t>
      </w:r>
      <w:r>
        <w:rPr>
          <w:rFonts w:hint="eastAsia" w:ascii="仿宋_GB2312" w:hAnsi="仿宋_GB2312" w:eastAsia="仿宋_GB2312" w:cs="仿宋_GB2312"/>
          <w:sz w:val="32"/>
          <w:szCs w:val="32"/>
          <w:highlight w:val="none"/>
          <w:lang w:eastAsia="zh-CN"/>
        </w:rPr>
        <w:t>预算</w:t>
      </w:r>
      <w:r>
        <w:rPr>
          <w:rFonts w:hint="eastAsia" w:ascii="仿宋_GB2312" w:hAnsi="仿宋_GB2312" w:eastAsia="仿宋_GB2312" w:cs="仿宋_GB2312"/>
          <w:sz w:val="32"/>
          <w:szCs w:val="32"/>
          <w:highlight w:val="none"/>
        </w:rPr>
        <w:t>表</w:t>
      </w:r>
    </w:p>
    <w:p w14:paraId="5BF0BCD8">
      <w:pPr>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表7.一般公共预算基本支出表</w:t>
      </w:r>
    </w:p>
    <w:p w14:paraId="10C74C87">
      <w:pPr>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表8.政府性基金预算支出表</w:t>
      </w:r>
    </w:p>
    <w:p w14:paraId="1CA3004A">
      <w:pPr>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表9.</w:t>
      </w:r>
      <w:r>
        <w:rPr>
          <w:rFonts w:hint="eastAsia" w:ascii="仿宋_GB2312" w:hAnsi="仿宋_GB2312" w:eastAsia="仿宋_GB2312" w:cs="仿宋_GB2312"/>
          <w:sz w:val="32"/>
          <w:szCs w:val="32"/>
          <w:highlight w:val="none"/>
          <w:lang w:eastAsia="zh-CN"/>
        </w:rPr>
        <w:t>财政拨款“三公”经费情况对比</w:t>
      </w:r>
      <w:r>
        <w:rPr>
          <w:rFonts w:hint="eastAsia" w:ascii="仿宋_GB2312" w:hAnsi="仿宋_GB2312" w:eastAsia="仿宋_GB2312" w:cs="仿宋_GB2312"/>
          <w:sz w:val="32"/>
          <w:szCs w:val="32"/>
          <w:highlight w:val="none"/>
        </w:rPr>
        <w:t xml:space="preserve">表  </w:t>
      </w:r>
    </w:p>
    <w:p w14:paraId="3F2DB0A8">
      <w:pPr>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表10.</w:t>
      </w:r>
      <w:r>
        <w:rPr>
          <w:rFonts w:hint="eastAsia" w:ascii="仿宋_GB2312" w:hAnsi="仿宋_GB2312" w:eastAsia="仿宋_GB2312" w:cs="仿宋_GB2312"/>
          <w:sz w:val="32"/>
          <w:szCs w:val="32"/>
          <w:highlight w:val="none"/>
          <w:lang w:val="en-US" w:eastAsia="zh-CN"/>
        </w:rPr>
        <w:t>部门预算</w:t>
      </w:r>
      <w:r>
        <w:rPr>
          <w:rFonts w:hint="eastAsia" w:ascii="仿宋_GB2312" w:hAnsi="仿宋_GB2312" w:eastAsia="仿宋_GB2312" w:cs="仿宋_GB2312"/>
          <w:sz w:val="32"/>
          <w:szCs w:val="32"/>
          <w:highlight w:val="none"/>
        </w:rPr>
        <w:t>项目支出表</w:t>
      </w:r>
    </w:p>
    <w:p w14:paraId="4C7A0058">
      <w:pPr>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表11.收入预算按单位分类汇总表</w:t>
      </w:r>
    </w:p>
    <w:p w14:paraId="11FB39B5">
      <w:pPr>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表12.支出预算按单位分类汇总表</w:t>
      </w:r>
    </w:p>
    <w:p w14:paraId="23C13442">
      <w:pPr>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eastAsia="zh-CN"/>
        </w:rPr>
        <w:t>表</w:t>
      </w:r>
      <w:r>
        <w:rPr>
          <w:rFonts w:hint="eastAsia" w:ascii="仿宋_GB2312" w:hAnsi="仿宋_GB2312" w:eastAsia="仿宋_GB2312" w:cs="仿宋_GB2312"/>
          <w:sz w:val="32"/>
          <w:szCs w:val="32"/>
          <w:highlight w:val="none"/>
          <w:lang w:val="en-US" w:eastAsia="zh-CN"/>
        </w:rPr>
        <w:t>13.政府购买服务表</w:t>
      </w:r>
    </w:p>
    <w:p w14:paraId="009427EA">
      <w:pPr>
        <w:rPr>
          <w:rFonts w:hint="eastAsia" w:ascii="仿宋_GB2312" w:hAnsi="黑体" w:eastAsia="仿宋_GB2312"/>
          <w:sz w:val="32"/>
          <w:szCs w:val="32"/>
        </w:rPr>
      </w:pPr>
      <w:r>
        <w:rPr>
          <w:rFonts w:hint="eastAsia" w:ascii="仿宋_GB2312" w:hAnsi="仿宋_GB2312" w:eastAsia="仿宋_GB2312" w:cs="仿宋_GB2312"/>
          <w:sz w:val="32"/>
          <w:szCs w:val="32"/>
          <w:highlight w:val="none"/>
          <w:lang w:eastAsia="zh-CN"/>
        </w:rPr>
        <w:t>表</w:t>
      </w:r>
      <w:r>
        <w:rPr>
          <w:rFonts w:hint="eastAsia" w:ascii="仿宋_GB2312" w:hAnsi="仿宋_GB2312" w:eastAsia="仿宋_GB2312" w:cs="仿宋_GB2312"/>
          <w:sz w:val="32"/>
          <w:szCs w:val="32"/>
          <w:highlight w:val="none"/>
          <w:lang w:val="en-US" w:eastAsia="zh-CN"/>
        </w:rPr>
        <w:t>14.</w:t>
      </w:r>
      <w:r>
        <w:rPr>
          <w:rFonts w:hint="eastAsia" w:ascii="仿宋_GB2312" w:hAnsi="黑体" w:eastAsia="仿宋_GB2312"/>
          <w:sz w:val="32"/>
          <w:szCs w:val="32"/>
          <w:lang w:eastAsia="zh-CN"/>
        </w:rPr>
        <w:t>部门</w:t>
      </w:r>
      <w:r>
        <w:rPr>
          <w:rFonts w:hint="eastAsia" w:ascii="仿宋_GB2312" w:hAnsi="黑体" w:eastAsia="仿宋_GB2312"/>
          <w:sz w:val="32"/>
          <w:szCs w:val="32"/>
        </w:rPr>
        <w:t>整体绩效目标情况表</w:t>
      </w:r>
    </w:p>
    <w:p w14:paraId="7A10F100">
      <w:pPr>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eastAsia="zh-CN"/>
        </w:rPr>
        <w:t>表</w:t>
      </w:r>
      <w:r>
        <w:rPr>
          <w:rFonts w:hint="eastAsia" w:ascii="仿宋_GB2312" w:hAnsi="仿宋_GB2312" w:eastAsia="仿宋_GB2312" w:cs="仿宋_GB2312"/>
          <w:sz w:val="32"/>
          <w:szCs w:val="32"/>
          <w:highlight w:val="none"/>
          <w:lang w:val="en-US" w:eastAsia="zh-CN"/>
        </w:rPr>
        <w:t>15.特定目标类项目绩效目标情况表</w:t>
      </w:r>
    </w:p>
    <w:p w14:paraId="188AC530">
      <w:pPr>
        <w:rPr>
          <w:rFonts w:hint="eastAsia" w:ascii="黑体" w:hAnsi="黑体" w:eastAsia="黑体"/>
          <w:sz w:val="32"/>
          <w:szCs w:val="32"/>
        </w:rPr>
      </w:pPr>
      <w:r>
        <w:rPr>
          <w:rFonts w:hint="eastAsia" w:ascii="黑体" w:hAnsi="黑体" w:eastAsia="黑体"/>
          <w:sz w:val="32"/>
          <w:szCs w:val="32"/>
        </w:rPr>
        <w:t>第三部分    沈阳市</w:t>
      </w:r>
      <w:r>
        <w:rPr>
          <w:rFonts w:hint="eastAsia" w:ascii="黑体" w:hAnsi="黑体" w:eastAsia="黑体"/>
          <w:sz w:val="32"/>
          <w:szCs w:val="32"/>
          <w:lang w:eastAsia="zh-CN"/>
        </w:rPr>
        <w:t>浑南区高坎街道办事处</w:t>
      </w:r>
      <w:r>
        <w:rPr>
          <w:rFonts w:hint="eastAsia" w:ascii="黑体" w:hAnsi="黑体" w:eastAsia="黑体"/>
          <w:sz w:val="32"/>
          <w:szCs w:val="32"/>
        </w:rPr>
        <w:t>2021年部门预算情况说明</w:t>
      </w:r>
    </w:p>
    <w:p w14:paraId="59759ABA">
      <w:pPr>
        <w:rPr>
          <w:rFonts w:hint="eastAsia" w:ascii="黑体" w:hAnsi="黑体" w:eastAsia="黑体"/>
          <w:sz w:val="32"/>
          <w:szCs w:val="32"/>
        </w:rPr>
      </w:pPr>
      <w:r>
        <w:rPr>
          <w:rFonts w:hint="eastAsia" w:ascii="黑体" w:hAnsi="黑体" w:eastAsia="黑体"/>
          <w:sz w:val="32"/>
          <w:szCs w:val="32"/>
        </w:rPr>
        <w:t>第四部分    名词解释</w:t>
      </w:r>
    </w:p>
    <w:p w14:paraId="622D3A56">
      <w:pPr>
        <w:jc w:val="center"/>
        <w:rPr>
          <w:rFonts w:hint="eastAsia" w:ascii="宋体" w:hAnsi="宋体"/>
          <w:b/>
          <w:sz w:val="36"/>
          <w:szCs w:val="36"/>
        </w:rPr>
      </w:pPr>
      <w:r>
        <w:rPr>
          <w:rFonts w:hint="eastAsia" w:ascii="宋体" w:hAnsi="宋体"/>
          <w:b/>
          <w:sz w:val="36"/>
          <w:szCs w:val="36"/>
        </w:rPr>
        <w:t>第一部分 沈阳市</w:t>
      </w:r>
      <w:r>
        <w:rPr>
          <w:rFonts w:hint="eastAsia" w:ascii="宋体" w:hAnsi="宋体"/>
          <w:b/>
          <w:sz w:val="36"/>
          <w:szCs w:val="36"/>
          <w:lang w:eastAsia="zh-CN"/>
        </w:rPr>
        <w:t>浑南区高坎街道办事处</w:t>
      </w:r>
      <w:r>
        <w:rPr>
          <w:rFonts w:hint="eastAsia" w:ascii="宋体" w:hAnsi="宋体"/>
          <w:b/>
          <w:sz w:val="36"/>
          <w:szCs w:val="36"/>
        </w:rPr>
        <w:t>概况</w:t>
      </w:r>
    </w:p>
    <w:p w14:paraId="097F735B">
      <w:pPr>
        <w:ind w:firstLine="640" w:firstLineChars="200"/>
        <w:jc w:val="left"/>
        <w:rPr>
          <w:rFonts w:hint="eastAsia" w:ascii="黑体" w:eastAsia="黑体"/>
          <w:sz w:val="32"/>
          <w:szCs w:val="32"/>
        </w:rPr>
      </w:pPr>
    </w:p>
    <w:p w14:paraId="038D7B60">
      <w:pPr>
        <w:ind w:firstLine="640" w:firstLineChars="200"/>
        <w:jc w:val="left"/>
        <w:rPr>
          <w:rFonts w:hint="eastAsia" w:ascii="黑体" w:eastAsia="黑体"/>
          <w:sz w:val="32"/>
          <w:szCs w:val="32"/>
        </w:rPr>
      </w:pPr>
      <w:r>
        <w:rPr>
          <w:rFonts w:hint="eastAsia" w:ascii="黑体" w:eastAsia="黑体"/>
          <w:sz w:val="32"/>
          <w:szCs w:val="32"/>
        </w:rPr>
        <w:t>一、主要职责</w:t>
      </w:r>
    </w:p>
    <w:p w14:paraId="10E66D4E">
      <w:pPr>
        <w:pStyle w:val="9"/>
        <w:pageBreakBefore w:val="0"/>
        <w:widowControl w:val="0"/>
        <w:kinsoku/>
        <w:wordWrap/>
        <w:overflowPunct/>
        <w:topLinePunct w:val="0"/>
        <w:autoSpaceDE/>
        <w:autoSpaceDN/>
        <w:bidi w:val="0"/>
        <w:adjustRightInd/>
        <w:snapToGrid/>
        <w:spacing w:line="520" w:lineRule="exact"/>
        <w:ind w:firstLine="632"/>
        <w:textAlignment w:val="auto"/>
        <w:rPr>
          <w:rFonts w:hint="eastAsia" w:ascii="仿宋" w:hAnsi="仿宋" w:eastAsia="仿宋" w:cs="仿宋"/>
          <w:sz w:val="32"/>
          <w:szCs w:val="32"/>
        </w:rPr>
      </w:pPr>
      <w:r>
        <w:rPr>
          <w:rFonts w:hint="eastAsia" w:ascii="仿宋" w:hAnsi="仿宋" w:eastAsia="仿宋" w:cs="仿宋"/>
          <w:sz w:val="32"/>
          <w:szCs w:val="32"/>
        </w:rPr>
        <w:t>根据《沈阳市浑南区街道机构改革方案》，街道的职能定位为：贯彻执行党和国家的路线、方针、政策、法律、法规和上级党委、政府的决定、决议，根据法律法规和县级党委、政府授权，围绕党的建设、社会治理、公共服务、城市管理等全面履行职能，紧扣城市基层治理，聚焦基层党建等重点工作以及就业和社会保障、医疗保障、不动产登记、社会救助、户籍管理、危（旧）房改造、园林绿化、环境卫生、市容市貌等群众关心关注的民生工作，切实把工作重心转到抓党建、抓治理、抓服务和营造良好发展环境上来。厘清街道办事处与居民委员会、农村集体经济组织的权责边界。</w:t>
      </w:r>
    </w:p>
    <w:p w14:paraId="2BBF6D79">
      <w:pPr>
        <w:pStyle w:val="9"/>
        <w:pageBreakBefore w:val="0"/>
        <w:widowControl w:val="0"/>
        <w:kinsoku/>
        <w:wordWrap/>
        <w:overflowPunct/>
        <w:topLinePunct w:val="0"/>
        <w:autoSpaceDE/>
        <w:autoSpaceDN/>
        <w:bidi w:val="0"/>
        <w:adjustRightInd/>
        <w:snapToGrid/>
        <w:spacing w:line="520" w:lineRule="exact"/>
        <w:ind w:firstLine="632"/>
        <w:textAlignment w:val="auto"/>
        <w:rPr>
          <w:rFonts w:hint="eastAsia" w:ascii="仿宋" w:hAnsi="仿宋" w:eastAsia="仿宋" w:cs="仿宋"/>
          <w:sz w:val="32"/>
          <w:szCs w:val="32"/>
        </w:rPr>
      </w:pPr>
      <w:r>
        <w:rPr>
          <w:rFonts w:hint="eastAsia" w:ascii="仿宋" w:hAnsi="仿宋" w:eastAsia="仿宋" w:cs="仿宋"/>
          <w:sz w:val="32"/>
          <w:szCs w:val="32"/>
        </w:rPr>
        <w:t>根据上述职能定位，确定街道综合办事机构工作职能如下：</w:t>
      </w:r>
    </w:p>
    <w:p w14:paraId="263D464A">
      <w:pPr>
        <w:pStyle w:val="2"/>
        <w:pageBreakBefore w:val="0"/>
        <w:widowControl w:val="0"/>
        <w:kinsoku/>
        <w:wordWrap/>
        <w:overflowPunct/>
        <w:topLinePunct w:val="0"/>
        <w:autoSpaceDE/>
        <w:autoSpaceDN/>
        <w:bidi w:val="0"/>
        <w:adjustRightInd/>
        <w:snapToGrid/>
        <w:spacing w:line="520" w:lineRule="exact"/>
        <w:ind w:firstLine="632"/>
        <w:textAlignment w:val="auto"/>
        <w:rPr>
          <w:rFonts w:hint="eastAsia" w:ascii="仿宋" w:hAnsi="仿宋" w:eastAsia="仿宋" w:cs="仿宋"/>
          <w:sz w:val="32"/>
          <w:szCs w:val="32"/>
        </w:rPr>
      </w:pPr>
      <w:r>
        <w:rPr>
          <w:rFonts w:hint="eastAsia" w:ascii="仿宋" w:hAnsi="仿宋" w:eastAsia="仿宋" w:cs="仿宋"/>
          <w:sz w:val="32"/>
          <w:szCs w:val="32"/>
        </w:rPr>
        <w:t>1.党政综合办公室（党建工作办公室）</w:t>
      </w:r>
    </w:p>
    <w:p w14:paraId="2CE497AC">
      <w:pPr>
        <w:pStyle w:val="9"/>
        <w:pageBreakBefore w:val="0"/>
        <w:widowControl w:val="0"/>
        <w:kinsoku/>
        <w:wordWrap/>
        <w:overflowPunct/>
        <w:topLinePunct w:val="0"/>
        <w:autoSpaceDE/>
        <w:autoSpaceDN/>
        <w:bidi w:val="0"/>
        <w:adjustRightInd/>
        <w:snapToGrid/>
        <w:spacing w:line="520" w:lineRule="exact"/>
        <w:ind w:firstLine="632"/>
        <w:textAlignment w:val="auto"/>
        <w:rPr>
          <w:rFonts w:hint="eastAsia" w:ascii="仿宋" w:hAnsi="仿宋" w:eastAsia="仿宋" w:cs="仿宋"/>
          <w:sz w:val="32"/>
          <w:szCs w:val="32"/>
        </w:rPr>
      </w:pPr>
      <w:r>
        <w:rPr>
          <w:rFonts w:hint="eastAsia" w:ascii="仿宋" w:hAnsi="仿宋" w:eastAsia="仿宋" w:cs="仿宋"/>
          <w:sz w:val="32"/>
          <w:szCs w:val="32"/>
        </w:rPr>
        <w:t>主要履行机关日常事务、综合协调、服务保障及党的建设等工作职能。</w:t>
      </w:r>
    </w:p>
    <w:p w14:paraId="69823063">
      <w:pPr>
        <w:pStyle w:val="9"/>
        <w:pageBreakBefore w:val="0"/>
        <w:widowControl w:val="0"/>
        <w:kinsoku/>
        <w:wordWrap/>
        <w:overflowPunct/>
        <w:topLinePunct w:val="0"/>
        <w:autoSpaceDE/>
        <w:autoSpaceDN/>
        <w:bidi w:val="0"/>
        <w:adjustRightInd/>
        <w:snapToGrid/>
        <w:spacing w:line="520" w:lineRule="exact"/>
        <w:ind w:firstLine="632"/>
        <w:textAlignment w:val="auto"/>
        <w:rPr>
          <w:rFonts w:hint="eastAsia" w:ascii="仿宋" w:hAnsi="仿宋" w:eastAsia="仿宋" w:cs="仿宋"/>
          <w:sz w:val="32"/>
          <w:szCs w:val="32"/>
        </w:rPr>
      </w:pPr>
      <w:r>
        <w:rPr>
          <w:rFonts w:hint="eastAsia" w:ascii="仿宋" w:hAnsi="仿宋" w:eastAsia="仿宋" w:cs="仿宋"/>
          <w:sz w:val="32"/>
          <w:szCs w:val="32"/>
        </w:rPr>
        <w:t>负责党的组织建设、党风廉政建设、宣传教育、思想政治、意识形态、精神文明建设、统一战线、民族宗教等工作；负责做好人大代表、政协委员的联络服务和提案办理等工作；负责工会、共青团、妇联等群团工作；负责重要会议活动承办、文字综合、文件制发、文电信息、督促检查、建章立制、日常值班、考勤统计、档案、保密</w:t>
      </w:r>
      <w:r>
        <w:rPr>
          <w:rFonts w:hint="eastAsia" w:ascii="仿宋" w:hAnsi="仿宋" w:eastAsia="仿宋" w:cs="仿宋"/>
          <w:sz w:val="32"/>
          <w:szCs w:val="32"/>
          <w:lang w:eastAsia="zh-CN"/>
        </w:rPr>
        <w:t>、依法行政</w:t>
      </w:r>
      <w:r>
        <w:rPr>
          <w:rFonts w:hint="eastAsia" w:ascii="仿宋" w:hAnsi="仿宋" w:eastAsia="仿宋" w:cs="仿宋"/>
          <w:sz w:val="32"/>
          <w:szCs w:val="32"/>
        </w:rPr>
        <w:t>等工作；负责机构编制、人事管理</w:t>
      </w:r>
      <w:r>
        <w:rPr>
          <w:rFonts w:hint="eastAsia" w:ascii="仿宋" w:hAnsi="仿宋" w:eastAsia="仿宋" w:cs="仿宋"/>
          <w:sz w:val="32"/>
          <w:szCs w:val="32"/>
          <w:lang w:eastAsia="zh-CN"/>
        </w:rPr>
        <w:t>、</w:t>
      </w:r>
      <w:r>
        <w:rPr>
          <w:rFonts w:hint="eastAsia" w:ascii="仿宋" w:hAnsi="仿宋" w:eastAsia="仿宋" w:cs="仿宋"/>
          <w:sz w:val="32"/>
          <w:szCs w:val="32"/>
        </w:rPr>
        <w:t>绩效考评等工作；负责在职人员管理、离退休干部服务等工作；负责人民武装工作。</w:t>
      </w:r>
    </w:p>
    <w:p w14:paraId="0E9BEE75">
      <w:pPr>
        <w:pStyle w:val="9"/>
        <w:pageBreakBefore w:val="0"/>
        <w:widowControl w:val="0"/>
        <w:kinsoku/>
        <w:wordWrap/>
        <w:overflowPunct/>
        <w:topLinePunct w:val="0"/>
        <w:autoSpaceDE/>
        <w:autoSpaceDN/>
        <w:bidi w:val="0"/>
        <w:adjustRightInd/>
        <w:snapToGrid/>
        <w:spacing w:line="520" w:lineRule="exact"/>
        <w:ind w:firstLine="632"/>
        <w:textAlignment w:val="auto"/>
        <w:rPr>
          <w:rFonts w:hint="eastAsia" w:ascii="仿宋" w:hAnsi="仿宋" w:eastAsia="仿宋" w:cs="仿宋"/>
          <w:sz w:val="32"/>
          <w:szCs w:val="32"/>
        </w:rPr>
      </w:pPr>
      <w:r>
        <w:rPr>
          <w:rFonts w:hint="eastAsia" w:ascii="仿宋" w:hAnsi="仿宋" w:eastAsia="仿宋" w:cs="仿宋"/>
          <w:sz w:val="32"/>
          <w:szCs w:val="32"/>
        </w:rPr>
        <w:t>负责落实基层党建工作责任制，统筹推进基层党建工作，实现党的组织和工作全覆盖；负责党员管理教育、组织关系接转、政审外调、党费收缴等工作；负责基层社区、非公企业、社会组织党组织建设；依托街道事务受理中心和文化活动中心，建立街道党建服务中心，面向辖区内党组织和党员开展党建活动、提供党建服务，使其成为服务区域党员群众的枢纽。</w:t>
      </w:r>
      <w:r>
        <w:rPr>
          <w:rFonts w:hint="eastAsia" w:ascii="仿宋" w:hAnsi="仿宋" w:eastAsia="仿宋" w:cs="仿宋"/>
          <w:sz w:val="32"/>
          <w:szCs w:val="32"/>
          <w:lang w:eastAsia="zh-CN"/>
        </w:rPr>
        <w:t>负责</w:t>
      </w:r>
      <w:r>
        <w:rPr>
          <w:rFonts w:hint="eastAsia" w:ascii="仿宋" w:hAnsi="仿宋" w:eastAsia="仿宋" w:cs="仿宋"/>
          <w:sz w:val="32"/>
          <w:szCs w:val="32"/>
        </w:rPr>
        <w:t>承办街道党工委交办的临时性工作。</w:t>
      </w:r>
    </w:p>
    <w:p w14:paraId="6F117233">
      <w:pPr>
        <w:pStyle w:val="2"/>
        <w:pageBreakBefore w:val="0"/>
        <w:widowControl w:val="0"/>
        <w:kinsoku/>
        <w:wordWrap/>
        <w:overflowPunct/>
        <w:topLinePunct w:val="0"/>
        <w:autoSpaceDE/>
        <w:autoSpaceDN/>
        <w:bidi w:val="0"/>
        <w:adjustRightInd/>
        <w:snapToGrid/>
        <w:spacing w:line="520" w:lineRule="exact"/>
        <w:ind w:left="0" w:leftChars="0" w:firstLine="0" w:firstLineChars="0"/>
        <w:textAlignment w:val="auto"/>
        <w:rPr>
          <w:rFonts w:hint="eastAsia" w:ascii="仿宋" w:hAnsi="仿宋" w:eastAsia="仿宋" w:cs="仿宋"/>
          <w:sz w:val="32"/>
          <w:szCs w:val="32"/>
        </w:rPr>
      </w:pPr>
      <w:r>
        <w:rPr>
          <w:rFonts w:hint="eastAsia" w:ascii="仿宋" w:hAnsi="仿宋" w:eastAsia="仿宋" w:cs="仿宋"/>
          <w:sz w:val="32"/>
          <w:szCs w:val="32"/>
          <w:lang w:eastAsia="zh-CN"/>
        </w:rPr>
        <w:t xml:space="preserve">    </w:t>
      </w:r>
      <w:r>
        <w:rPr>
          <w:rFonts w:hint="eastAsia" w:ascii="仿宋" w:hAnsi="仿宋" w:eastAsia="仿宋" w:cs="仿宋"/>
          <w:sz w:val="32"/>
          <w:szCs w:val="32"/>
        </w:rPr>
        <w:t>2.社会治理办公室</w:t>
      </w:r>
    </w:p>
    <w:p w14:paraId="5056458F">
      <w:pPr>
        <w:pStyle w:val="9"/>
        <w:pageBreakBefore w:val="0"/>
        <w:widowControl w:val="0"/>
        <w:kinsoku/>
        <w:wordWrap/>
        <w:overflowPunct/>
        <w:topLinePunct w:val="0"/>
        <w:autoSpaceDE/>
        <w:autoSpaceDN/>
        <w:bidi w:val="0"/>
        <w:adjustRightInd/>
        <w:snapToGrid/>
        <w:spacing w:line="520" w:lineRule="exact"/>
        <w:ind w:firstLine="632"/>
        <w:textAlignment w:val="auto"/>
        <w:rPr>
          <w:rFonts w:hint="eastAsia" w:ascii="仿宋" w:hAnsi="仿宋" w:eastAsia="仿宋" w:cs="仿宋"/>
          <w:sz w:val="32"/>
          <w:szCs w:val="32"/>
        </w:rPr>
      </w:pPr>
      <w:r>
        <w:rPr>
          <w:rFonts w:hint="eastAsia" w:ascii="仿宋" w:hAnsi="仿宋" w:eastAsia="仿宋" w:cs="仿宋"/>
          <w:sz w:val="32"/>
          <w:szCs w:val="32"/>
        </w:rPr>
        <w:t>主要履行社会治安综合治理、信访维稳等工作职能。负责维护社会稳定和处理群众来信来访工作；负责矛盾纠纷排查化解、治安防控体系建设、基层平安创建活动等工作;负责配合公安机关充分发动群众，加强对流动人口、特种行业、要害部位等方面的管理，打击各种违法犯罪活动，减少社会治安问题；负责指导人民调解开展矛盾纠纷排查化解工作；负责配合司法所组织开展法制宣传和法律援助，落实社区矫正、社区戒毒、刑释解教人员安置帮教和实有人口服务管理工作；负责协调开展邪教防范工作；负责落实农民工维权相关工作</w:t>
      </w:r>
      <w:r>
        <w:rPr>
          <w:rFonts w:hint="eastAsia" w:ascii="仿宋" w:hAnsi="仿宋" w:eastAsia="仿宋" w:cs="仿宋"/>
          <w:sz w:val="32"/>
          <w:szCs w:val="32"/>
          <w:lang w:eastAsia="zh-CN"/>
        </w:rPr>
        <w:t>；负责协调派出所开展相关工作；负责</w:t>
      </w:r>
      <w:r>
        <w:rPr>
          <w:rFonts w:hint="eastAsia" w:ascii="仿宋" w:hAnsi="仿宋" w:eastAsia="仿宋" w:cs="仿宋"/>
          <w:sz w:val="32"/>
          <w:szCs w:val="32"/>
        </w:rPr>
        <w:t>承办街道党工委交办的临时性工作。</w:t>
      </w:r>
    </w:p>
    <w:p w14:paraId="6EC61F73">
      <w:pPr>
        <w:pStyle w:val="2"/>
        <w:pageBreakBefore w:val="0"/>
        <w:widowControl w:val="0"/>
        <w:kinsoku/>
        <w:wordWrap/>
        <w:overflowPunct/>
        <w:topLinePunct w:val="0"/>
        <w:autoSpaceDE/>
        <w:autoSpaceDN/>
        <w:bidi w:val="0"/>
        <w:adjustRightInd/>
        <w:snapToGrid/>
        <w:spacing w:line="520" w:lineRule="exact"/>
        <w:ind w:left="0" w:leftChars="0" w:firstLine="0" w:firstLineChars="0"/>
        <w:textAlignment w:val="auto"/>
        <w:rPr>
          <w:rFonts w:hint="eastAsia" w:ascii="仿宋" w:hAnsi="仿宋" w:eastAsia="仿宋" w:cs="仿宋"/>
          <w:sz w:val="32"/>
          <w:szCs w:val="32"/>
        </w:rPr>
      </w:pPr>
      <w:r>
        <w:rPr>
          <w:rFonts w:hint="eastAsia" w:ascii="仿宋" w:hAnsi="仿宋" w:eastAsia="仿宋" w:cs="仿宋"/>
          <w:sz w:val="32"/>
          <w:szCs w:val="32"/>
          <w:lang w:eastAsia="zh-CN"/>
        </w:rPr>
        <w:t xml:space="preserve">    </w:t>
      </w:r>
      <w:r>
        <w:rPr>
          <w:rFonts w:hint="eastAsia" w:ascii="仿宋" w:hAnsi="仿宋" w:eastAsia="仿宋" w:cs="仿宋"/>
          <w:sz w:val="32"/>
          <w:szCs w:val="32"/>
        </w:rPr>
        <w:t>3.公共服务办公室（政务服务大厅）</w:t>
      </w:r>
    </w:p>
    <w:p w14:paraId="643D8C20">
      <w:pPr>
        <w:pStyle w:val="9"/>
        <w:pageBreakBefore w:val="0"/>
        <w:widowControl w:val="0"/>
        <w:kinsoku/>
        <w:wordWrap/>
        <w:overflowPunct/>
        <w:topLinePunct w:val="0"/>
        <w:autoSpaceDE/>
        <w:autoSpaceDN/>
        <w:bidi w:val="0"/>
        <w:adjustRightInd/>
        <w:snapToGrid/>
        <w:spacing w:line="520" w:lineRule="exact"/>
        <w:ind w:firstLine="632"/>
        <w:textAlignment w:val="auto"/>
        <w:rPr>
          <w:rFonts w:hint="eastAsia" w:ascii="仿宋" w:hAnsi="仿宋" w:eastAsia="仿宋" w:cs="仿宋"/>
          <w:sz w:val="32"/>
          <w:szCs w:val="32"/>
        </w:rPr>
      </w:pPr>
      <w:r>
        <w:rPr>
          <w:rFonts w:hint="eastAsia" w:ascii="仿宋" w:hAnsi="仿宋" w:eastAsia="仿宋" w:cs="仿宋"/>
          <w:sz w:val="32"/>
          <w:szCs w:val="32"/>
        </w:rPr>
        <w:t>主要履行社会服务、社会救济、民生保障等工作职能。负责承担与居民生活密切相关的行政管理和公共服务事项办理等有关工作，落实民政、人力资源和社会保障、退役军人等领域相关政策法规；负责城乡低保户管理、特困供养人员管理、养老服务事业发展、婚姻管理、殡葬管理等工作；负责就业、失业、社会保险等服务保障工作；负责优抚工作，协助有关部门做好“双拥”及退役军人安置、管理和服务等工作；负责承担红十字会有关工作；负责贯彻《</w:t>
      </w:r>
      <w:r>
        <w:rPr>
          <w:rFonts w:hint="eastAsia" w:ascii="仿宋" w:hAnsi="仿宋" w:eastAsia="仿宋" w:cs="仿宋"/>
          <w:sz w:val="32"/>
          <w:szCs w:val="32"/>
          <w:lang w:eastAsia="zh-CN"/>
        </w:rPr>
        <w:t>残疾人保障法</w:t>
      </w:r>
      <w:r>
        <w:rPr>
          <w:rFonts w:hint="eastAsia" w:ascii="仿宋" w:hAnsi="仿宋" w:eastAsia="仿宋" w:cs="仿宋"/>
          <w:sz w:val="32"/>
          <w:szCs w:val="32"/>
        </w:rPr>
        <w:t>》，安置有劳动能力的残疾人就业，维护残疾人合法权益；负责整合基层行政审批和公共服务职责，设置街道便民服务中心，实行“一站式服务”、“一门式办理”;</w:t>
      </w:r>
      <w:r>
        <w:rPr>
          <w:rFonts w:hint="eastAsia" w:ascii="仿宋" w:hAnsi="仿宋" w:eastAsia="仿宋" w:cs="仿宋"/>
          <w:sz w:val="32"/>
          <w:szCs w:val="32"/>
          <w:lang w:eastAsia="zh-CN"/>
        </w:rPr>
        <w:t>负责</w:t>
      </w:r>
      <w:r>
        <w:rPr>
          <w:rFonts w:hint="eastAsia" w:ascii="仿宋" w:hAnsi="仿宋" w:eastAsia="仿宋" w:cs="仿宋"/>
          <w:sz w:val="32"/>
          <w:szCs w:val="32"/>
        </w:rPr>
        <w:t>承办街道党工委交办的临时性工作。</w:t>
      </w:r>
    </w:p>
    <w:p w14:paraId="3547923B">
      <w:pPr>
        <w:pStyle w:val="2"/>
        <w:pageBreakBefore w:val="0"/>
        <w:widowControl w:val="0"/>
        <w:kinsoku/>
        <w:wordWrap/>
        <w:overflowPunct/>
        <w:topLinePunct w:val="0"/>
        <w:autoSpaceDE/>
        <w:autoSpaceDN/>
        <w:bidi w:val="0"/>
        <w:adjustRightInd/>
        <w:snapToGrid/>
        <w:spacing w:line="520" w:lineRule="exact"/>
        <w:ind w:left="0" w:leftChars="0" w:firstLine="0" w:firstLineChars="0"/>
        <w:textAlignment w:val="auto"/>
        <w:rPr>
          <w:rFonts w:hint="eastAsia" w:ascii="仿宋" w:hAnsi="仿宋" w:eastAsia="仿宋" w:cs="仿宋"/>
          <w:sz w:val="32"/>
          <w:szCs w:val="32"/>
        </w:rPr>
      </w:pPr>
      <w:r>
        <w:rPr>
          <w:rFonts w:hint="eastAsia" w:ascii="仿宋" w:hAnsi="仿宋" w:eastAsia="仿宋" w:cs="仿宋"/>
          <w:sz w:val="32"/>
          <w:szCs w:val="32"/>
          <w:lang w:eastAsia="zh-CN"/>
        </w:rPr>
        <w:t xml:space="preserve">     </w:t>
      </w:r>
      <w:r>
        <w:rPr>
          <w:rFonts w:hint="eastAsia" w:ascii="仿宋" w:hAnsi="仿宋" w:eastAsia="仿宋" w:cs="仿宋"/>
          <w:sz w:val="32"/>
          <w:szCs w:val="32"/>
        </w:rPr>
        <w:t>4.城乡管理办公室</w:t>
      </w:r>
    </w:p>
    <w:p w14:paraId="4DDA5B0A">
      <w:pPr>
        <w:pStyle w:val="9"/>
        <w:pageBreakBefore w:val="0"/>
        <w:widowControl w:val="0"/>
        <w:kinsoku/>
        <w:wordWrap/>
        <w:overflowPunct/>
        <w:topLinePunct w:val="0"/>
        <w:autoSpaceDE/>
        <w:autoSpaceDN/>
        <w:bidi w:val="0"/>
        <w:adjustRightInd/>
        <w:snapToGrid/>
        <w:spacing w:line="520" w:lineRule="exact"/>
        <w:ind w:firstLine="632"/>
        <w:textAlignment w:val="auto"/>
        <w:rPr>
          <w:rFonts w:hint="eastAsia" w:ascii="仿宋" w:hAnsi="仿宋" w:eastAsia="仿宋" w:cs="仿宋"/>
          <w:sz w:val="32"/>
          <w:szCs w:val="32"/>
        </w:rPr>
      </w:pPr>
      <w:r>
        <w:rPr>
          <w:rFonts w:hint="eastAsia" w:ascii="仿宋" w:hAnsi="仿宋" w:eastAsia="仿宋" w:cs="仿宋"/>
          <w:sz w:val="32"/>
          <w:szCs w:val="32"/>
        </w:rPr>
        <w:t>主要履行城乡建设、综合管理及交通等工作职能。对地区性、综合性事务综合施策，组织协调和整合各类行政资源、专业资源共同推进社区管理；统筹落实社区市容环境（含爱国卫生、灭“四害”）、市政、绿化、环保等工作；对涉及专业管理类、行政执法类事务，督促、协调职能部门落实；负责美丽乡村、宜居乡村建设及农村公路非专业养护工作；改善居民居住环境，落实居住小区综合管理工作；负责落实河长制相关工作；承接并落实土地利用规划及城乡规划、耕地保护、</w:t>
      </w:r>
      <w:r>
        <w:rPr>
          <w:rFonts w:hint="eastAsia" w:ascii="仿宋" w:hAnsi="仿宋" w:eastAsia="仿宋" w:cs="仿宋"/>
          <w:sz w:val="32"/>
          <w:szCs w:val="32"/>
          <w:lang w:eastAsia="zh-CN"/>
        </w:rPr>
        <w:t>集体土地组报卷、</w:t>
      </w:r>
      <w:r>
        <w:rPr>
          <w:rFonts w:hint="eastAsia" w:ascii="仿宋" w:hAnsi="仿宋" w:eastAsia="仿宋" w:cs="仿宋"/>
          <w:sz w:val="32"/>
          <w:szCs w:val="32"/>
        </w:rPr>
        <w:t>宅基地管理</w:t>
      </w:r>
      <w:r>
        <w:rPr>
          <w:rFonts w:hint="eastAsia" w:ascii="仿宋" w:hAnsi="仿宋" w:eastAsia="仿宋" w:cs="仿宋"/>
          <w:sz w:val="32"/>
          <w:szCs w:val="32"/>
          <w:lang w:eastAsia="zh-CN"/>
        </w:rPr>
        <w:t>、设施农用地管理、</w:t>
      </w:r>
      <w:r>
        <w:rPr>
          <w:rFonts w:hint="eastAsia" w:ascii="仿宋" w:hAnsi="仿宋" w:eastAsia="仿宋" w:cs="仿宋"/>
          <w:sz w:val="32"/>
          <w:szCs w:val="32"/>
        </w:rPr>
        <w:t>配合土地执法等相关工作；负责派驻队所的日常管理和绩效考评。有关部门履行行政执法主体责任时，负责协助其承担日常巡查、发现违法行为并及时通报等具体工作</w:t>
      </w:r>
      <w:r>
        <w:rPr>
          <w:rFonts w:hint="eastAsia" w:ascii="仿宋" w:hAnsi="仿宋" w:eastAsia="仿宋" w:cs="仿宋"/>
          <w:sz w:val="32"/>
          <w:szCs w:val="32"/>
          <w:lang w:eastAsia="zh-CN"/>
        </w:rPr>
        <w:t>；负责</w:t>
      </w:r>
      <w:r>
        <w:rPr>
          <w:rFonts w:hint="eastAsia" w:ascii="仿宋" w:hAnsi="仿宋" w:eastAsia="仿宋" w:cs="仿宋"/>
          <w:sz w:val="32"/>
          <w:szCs w:val="32"/>
        </w:rPr>
        <w:t>承办街道党工委交办的临时性工作。</w:t>
      </w:r>
    </w:p>
    <w:p w14:paraId="4E97A16C">
      <w:pPr>
        <w:pStyle w:val="9"/>
        <w:pageBreakBefore w:val="0"/>
        <w:widowControl w:val="0"/>
        <w:kinsoku/>
        <w:wordWrap/>
        <w:overflowPunct/>
        <w:topLinePunct w:val="0"/>
        <w:autoSpaceDE/>
        <w:autoSpaceDN/>
        <w:bidi w:val="0"/>
        <w:adjustRightInd/>
        <w:snapToGrid/>
        <w:spacing w:line="520" w:lineRule="exact"/>
        <w:ind w:firstLine="632"/>
        <w:textAlignment w:val="auto"/>
        <w:rPr>
          <w:rFonts w:hint="eastAsia" w:ascii="仿宋" w:hAnsi="仿宋" w:eastAsia="仿宋" w:cs="仿宋"/>
          <w:sz w:val="32"/>
          <w:szCs w:val="32"/>
        </w:rPr>
      </w:pPr>
      <w:r>
        <w:rPr>
          <w:rFonts w:hint="eastAsia" w:ascii="仿宋" w:hAnsi="仿宋" w:eastAsia="仿宋" w:cs="仿宋"/>
          <w:sz w:val="32"/>
          <w:szCs w:val="32"/>
        </w:rPr>
        <w:t>协调协同现场征收部、执法大队</w:t>
      </w:r>
      <w:r>
        <w:rPr>
          <w:rFonts w:hint="eastAsia" w:ascii="仿宋" w:hAnsi="仿宋" w:eastAsia="仿宋" w:cs="仿宋"/>
          <w:sz w:val="32"/>
          <w:szCs w:val="32"/>
          <w:lang w:eastAsia="zh-CN"/>
        </w:rPr>
        <w:t>、环卫所</w:t>
      </w:r>
      <w:r>
        <w:rPr>
          <w:rFonts w:hint="eastAsia" w:ascii="仿宋" w:hAnsi="仿宋" w:eastAsia="仿宋" w:cs="仿宋"/>
          <w:sz w:val="32"/>
          <w:szCs w:val="32"/>
        </w:rPr>
        <w:t>开展工作。</w:t>
      </w:r>
    </w:p>
    <w:p w14:paraId="63A7F411">
      <w:pPr>
        <w:pStyle w:val="2"/>
        <w:pageBreakBefore w:val="0"/>
        <w:widowControl w:val="0"/>
        <w:kinsoku/>
        <w:wordWrap/>
        <w:overflowPunct/>
        <w:topLinePunct w:val="0"/>
        <w:autoSpaceDE/>
        <w:autoSpaceDN/>
        <w:bidi w:val="0"/>
        <w:adjustRightInd/>
        <w:snapToGrid/>
        <w:spacing w:line="520" w:lineRule="exact"/>
        <w:ind w:left="0" w:leftChars="0" w:firstLine="0" w:firstLineChars="0"/>
        <w:textAlignment w:val="auto"/>
        <w:rPr>
          <w:rFonts w:hint="eastAsia" w:ascii="仿宋" w:hAnsi="仿宋" w:eastAsia="仿宋" w:cs="仿宋"/>
          <w:sz w:val="32"/>
          <w:szCs w:val="32"/>
        </w:rPr>
      </w:pPr>
      <w:r>
        <w:rPr>
          <w:rFonts w:hint="eastAsia" w:ascii="仿宋" w:hAnsi="仿宋" w:eastAsia="仿宋" w:cs="仿宋"/>
          <w:sz w:val="32"/>
          <w:szCs w:val="32"/>
          <w:lang w:eastAsia="zh-CN"/>
        </w:rPr>
        <w:t xml:space="preserve">    </w:t>
      </w:r>
      <w:r>
        <w:rPr>
          <w:rFonts w:hint="eastAsia" w:ascii="仿宋" w:hAnsi="仿宋" w:eastAsia="仿宋" w:cs="仿宋"/>
          <w:sz w:val="32"/>
          <w:szCs w:val="32"/>
        </w:rPr>
        <w:t>5.经济发展办公室</w:t>
      </w:r>
    </w:p>
    <w:p w14:paraId="39DD33C3">
      <w:pPr>
        <w:pStyle w:val="9"/>
        <w:pageBreakBefore w:val="0"/>
        <w:widowControl w:val="0"/>
        <w:kinsoku/>
        <w:wordWrap/>
        <w:overflowPunct/>
        <w:topLinePunct w:val="0"/>
        <w:autoSpaceDE/>
        <w:autoSpaceDN/>
        <w:bidi w:val="0"/>
        <w:adjustRightInd/>
        <w:snapToGrid/>
        <w:spacing w:line="520" w:lineRule="exact"/>
        <w:ind w:firstLine="632"/>
        <w:textAlignment w:val="auto"/>
        <w:rPr>
          <w:rFonts w:hint="eastAsia" w:ascii="仿宋" w:hAnsi="仿宋" w:eastAsia="仿宋" w:cs="仿宋"/>
          <w:b/>
          <w:bCs/>
          <w:sz w:val="32"/>
          <w:szCs w:val="32"/>
        </w:rPr>
      </w:pPr>
      <w:r>
        <w:rPr>
          <w:rFonts w:hint="eastAsia" w:ascii="仿宋" w:hAnsi="仿宋" w:eastAsia="仿宋" w:cs="仿宋"/>
          <w:sz w:val="32"/>
          <w:szCs w:val="32"/>
        </w:rPr>
        <w:t>主要履行发展决策落实、企业商贸服务、营商环境建设和在地统计等工作职能。负责财务管理、资产管理、政府采购</w:t>
      </w:r>
      <w:r>
        <w:rPr>
          <w:rFonts w:hint="eastAsia" w:ascii="仿宋" w:hAnsi="仿宋" w:eastAsia="仿宋" w:cs="仿宋"/>
          <w:sz w:val="32"/>
          <w:szCs w:val="32"/>
          <w:lang w:eastAsia="zh-CN"/>
        </w:rPr>
        <w:t>、招商</w:t>
      </w:r>
      <w:r>
        <w:rPr>
          <w:rFonts w:hint="eastAsia" w:ascii="仿宋" w:hAnsi="仿宋" w:eastAsia="仿宋" w:cs="仿宋"/>
          <w:sz w:val="32"/>
          <w:szCs w:val="32"/>
        </w:rPr>
        <w:t>等项工作，负责办公场所运转维护、安全、卫生清洁等后勤服务保障工作；负责参与辖区公共服务设施建设规划，推动辖区健康、有序、可持续发展；负责企业信息采集、服务驻区企业、优化投资环境、促进项目发展、商贸流通发展、营商环境建设等工作;负责组织、开展、协调辖区内在地统计工作;负责乡村振兴、农村集体经济发展、农民增收等工作。</w:t>
      </w:r>
      <w:r>
        <w:rPr>
          <w:rFonts w:hint="eastAsia" w:ascii="仿宋" w:hAnsi="仿宋" w:eastAsia="仿宋" w:cs="仿宋"/>
          <w:sz w:val="32"/>
          <w:szCs w:val="32"/>
          <w:lang w:eastAsia="zh-CN"/>
        </w:rPr>
        <w:t>负责</w:t>
      </w:r>
      <w:r>
        <w:rPr>
          <w:rFonts w:hint="eastAsia" w:ascii="仿宋" w:hAnsi="仿宋" w:eastAsia="仿宋" w:cs="仿宋"/>
          <w:sz w:val="32"/>
          <w:szCs w:val="32"/>
        </w:rPr>
        <w:t>承办街道党工委交办的临时性工作。</w:t>
      </w:r>
    </w:p>
    <w:p w14:paraId="634C6DE5">
      <w:pPr>
        <w:pStyle w:val="9"/>
        <w:pageBreakBefore w:val="0"/>
        <w:widowControl w:val="0"/>
        <w:kinsoku/>
        <w:wordWrap/>
        <w:overflowPunct/>
        <w:topLinePunct w:val="0"/>
        <w:autoSpaceDE/>
        <w:autoSpaceDN/>
        <w:bidi w:val="0"/>
        <w:adjustRightInd/>
        <w:snapToGrid/>
        <w:spacing w:line="520" w:lineRule="exact"/>
        <w:ind w:firstLine="632"/>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协调协同</w:t>
      </w:r>
      <w:r>
        <w:rPr>
          <w:rFonts w:hint="eastAsia" w:ascii="仿宋" w:hAnsi="仿宋" w:eastAsia="仿宋" w:cs="仿宋"/>
          <w:sz w:val="32"/>
          <w:szCs w:val="32"/>
        </w:rPr>
        <w:t>街道综合服务分中心</w:t>
      </w:r>
      <w:r>
        <w:rPr>
          <w:rFonts w:hint="eastAsia" w:ascii="仿宋" w:hAnsi="仿宋" w:eastAsia="仿宋" w:cs="仿宋"/>
          <w:sz w:val="32"/>
          <w:szCs w:val="32"/>
          <w:lang w:eastAsia="zh-CN"/>
        </w:rPr>
        <w:t>开展工作</w:t>
      </w:r>
      <w:r>
        <w:rPr>
          <w:rFonts w:hint="eastAsia" w:ascii="仿宋" w:hAnsi="仿宋" w:eastAsia="仿宋" w:cs="仿宋"/>
          <w:sz w:val="32"/>
          <w:szCs w:val="32"/>
        </w:rPr>
        <w:t>。</w:t>
      </w:r>
    </w:p>
    <w:p w14:paraId="33210936">
      <w:pPr>
        <w:pStyle w:val="2"/>
        <w:pageBreakBefore w:val="0"/>
        <w:widowControl w:val="0"/>
        <w:kinsoku/>
        <w:wordWrap/>
        <w:overflowPunct/>
        <w:topLinePunct w:val="0"/>
        <w:autoSpaceDE/>
        <w:autoSpaceDN/>
        <w:bidi w:val="0"/>
        <w:adjustRightInd/>
        <w:snapToGrid/>
        <w:spacing w:line="520" w:lineRule="exact"/>
        <w:ind w:left="0" w:leftChars="0" w:firstLine="0" w:firstLineChars="0"/>
        <w:textAlignment w:val="auto"/>
        <w:rPr>
          <w:rFonts w:hint="eastAsia" w:ascii="仿宋" w:hAnsi="仿宋" w:eastAsia="仿宋" w:cs="仿宋"/>
          <w:sz w:val="32"/>
          <w:szCs w:val="32"/>
        </w:rPr>
      </w:pPr>
      <w:r>
        <w:rPr>
          <w:rFonts w:hint="eastAsia" w:ascii="仿宋" w:hAnsi="仿宋" w:eastAsia="仿宋" w:cs="仿宋"/>
          <w:sz w:val="32"/>
          <w:szCs w:val="32"/>
          <w:lang w:eastAsia="zh-CN"/>
        </w:rPr>
        <w:t xml:space="preserve">    </w:t>
      </w:r>
      <w:r>
        <w:rPr>
          <w:rFonts w:hint="eastAsia" w:ascii="仿宋" w:hAnsi="仿宋" w:eastAsia="仿宋" w:cs="仿宋"/>
          <w:sz w:val="32"/>
          <w:szCs w:val="32"/>
        </w:rPr>
        <w:t>6.应急管理办公室（投诉平台）</w:t>
      </w:r>
    </w:p>
    <w:p w14:paraId="0D22D396">
      <w:pPr>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主要履行安全生产、灾害防控、应急救援等工作职能。负责组织编制应急管理总体预案和规划，组织指导社区（村）应对突发事件工作，推动应急预案体系建设和预案演练。负责建立应急管理信息系统，统筹应急力量建设和物资储备并在救灾时统一调度。负责指导安全生产、消防、森林和草原火灾、水旱灾害、地震和地质灾害等突发事件的应急救援及防控工作，组织社会力量开展救援工作。负责整合现有设在街道的党的建设、综合治理、社区治理、数字城管等系统指挥信息资源，建立一体化的信息系统和综合指挥平台，实现互联互通、信息共享、实时监控、综合监测。</w:t>
      </w:r>
      <w:r>
        <w:rPr>
          <w:rFonts w:hint="eastAsia" w:ascii="仿宋" w:hAnsi="仿宋" w:eastAsia="仿宋" w:cs="仿宋"/>
          <w:sz w:val="32"/>
          <w:szCs w:val="32"/>
          <w:lang w:eastAsia="zh-CN"/>
        </w:rPr>
        <w:t>负责</w:t>
      </w:r>
      <w:r>
        <w:rPr>
          <w:rFonts w:hint="eastAsia" w:ascii="仿宋" w:hAnsi="仿宋" w:eastAsia="仿宋" w:cs="仿宋"/>
          <w:sz w:val="32"/>
          <w:szCs w:val="32"/>
        </w:rPr>
        <w:t>承办街道党工委交办的临时性工作。</w:t>
      </w:r>
    </w:p>
    <w:p w14:paraId="77B4FA60">
      <w:pPr>
        <w:pStyle w:val="9"/>
        <w:pageBreakBefore w:val="0"/>
        <w:widowControl w:val="0"/>
        <w:kinsoku/>
        <w:wordWrap/>
        <w:overflowPunct/>
        <w:topLinePunct w:val="0"/>
        <w:autoSpaceDE/>
        <w:autoSpaceDN/>
        <w:bidi w:val="0"/>
        <w:adjustRightInd/>
        <w:snapToGrid/>
        <w:spacing w:line="520" w:lineRule="exact"/>
        <w:ind w:firstLine="632"/>
        <w:textAlignment w:val="auto"/>
        <w:rPr>
          <w:rFonts w:hint="eastAsia" w:ascii="仿宋" w:hAnsi="仿宋" w:eastAsia="仿宋" w:cs="仿宋"/>
          <w:sz w:val="32"/>
          <w:szCs w:val="32"/>
        </w:rPr>
      </w:pPr>
      <w:r>
        <w:rPr>
          <w:rFonts w:hint="eastAsia" w:ascii="仿宋" w:hAnsi="仿宋" w:eastAsia="仿宋" w:cs="仿宋"/>
          <w:kern w:val="2"/>
          <w:sz w:val="32"/>
          <w:szCs w:val="32"/>
          <w:lang w:val="en-US" w:eastAsia="zh-CN" w:bidi="ar-SA"/>
        </w:rPr>
        <w:t>协调协同</w:t>
      </w:r>
      <w:r>
        <w:rPr>
          <w:rFonts w:hint="eastAsia" w:ascii="仿宋" w:hAnsi="仿宋" w:eastAsia="仿宋" w:cs="仿宋"/>
          <w:sz w:val="32"/>
          <w:szCs w:val="32"/>
        </w:rPr>
        <w:t>应</w:t>
      </w:r>
      <w:r>
        <w:rPr>
          <w:rFonts w:hint="eastAsia" w:ascii="仿宋" w:hAnsi="仿宋" w:eastAsia="仿宋" w:cs="仿宋"/>
          <w:kern w:val="2"/>
          <w:sz w:val="32"/>
          <w:szCs w:val="32"/>
          <w:lang w:val="en-US" w:eastAsia="zh-CN" w:bidi="ar-SA"/>
        </w:rPr>
        <w:t>急中队、市场监督管理所开展工作。</w:t>
      </w:r>
    </w:p>
    <w:p w14:paraId="49B1C484">
      <w:pPr>
        <w:pStyle w:val="2"/>
        <w:pageBreakBefore w:val="0"/>
        <w:widowControl w:val="0"/>
        <w:kinsoku/>
        <w:wordWrap/>
        <w:overflowPunct/>
        <w:topLinePunct w:val="0"/>
        <w:autoSpaceDE/>
        <w:autoSpaceDN/>
        <w:bidi w:val="0"/>
        <w:adjustRightInd/>
        <w:snapToGrid/>
        <w:spacing w:line="520" w:lineRule="exact"/>
        <w:ind w:left="0" w:leftChars="0" w:firstLine="0" w:firstLineChars="0"/>
        <w:textAlignment w:val="auto"/>
        <w:rPr>
          <w:rFonts w:hint="eastAsia" w:ascii="仿宋" w:hAnsi="仿宋" w:eastAsia="仿宋" w:cs="仿宋"/>
          <w:sz w:val="32"/>
          <w:szCs w:val="32"/>
        </w:rPr>
      </w:pPr>
      <w:r>
        <w:rPr>
          <w:rFonts w:hint="eastAsia" w:ascii="仿宋" w:hAnsi="仿宋" w:eastAsia="仿宋" w:cs="仿宋"/>
          <w:sz w:val="32"/>
          <w:szCs w:val="32"/>
          <w:lang w:eastAsia="zh-CN"/>
        </w:rPr>
        <w:t xml:space="preserve">    </w:t>
      </w:r>
      <w:r>
        <w:rPr>
          <w:rFonts w:hint="eastAsia" w:ascii="仿宋" w:hAnsi="仿宋" w:eastAsia="仿宋" w:cs="仿宋"/>
          <w:sz w:val="32"/>
          <w:szCs w:val="32"/>
        </w:rPr>
        <w:t>7.社区建设指导办公室</w:t>
      </w:r>
    </w:p>
    <w:p w14:paraId="22A064FD">
      <w:pPr>
        <w:pStyle w:val="9"/>
        <w:pageBreakBefore w:val="0"/>
        <w:widowControl w:val="0"/>
        <w:kinsoku/>
        <w:wordWrap/>
        <w:overflowPunct/>
        <w:topLinePunct w:val="0"/>
        <w:autoSpaceDE/>
        <w:autoSpaceDN/>
        <w:bidi w:val="0"/>
        <w:adjustRightInd/>
        <w:snapToGrid/>
        <w:spacing w:line="520" w:lineRule="exact"/>
        <w:ind w:firstLine="632"/>
        <w:textAlignment w:val="auto"/>
        <w:rPr>
          <w:rFonts w:hint="eastAsia" w:ascii="仿宋" w:hAnsi="仿宋" w:eastAsia="仿宋" w:cs="仿宋"/>
          <w:b/>
          <w:bCs/>
          <w:sz w:val="32"/>
          <w:szCs w:val="32"/>
        </w:rPr>
      </w:pPr>
      <w:r>
        <w:rPr>
          <w:rFonts w:hint="eastAsia" w:ascii="仿宋" w:hAnsi="仿宋" w:eastAsia="仿宋" w:cs="仿宋"/>
          <w:sz w:val="32"/>
          <w:szCs w:val="32"/>
        </w:rPr>
        <w:t>主要履行指导社区居民自治和社区服务等工作职能。负责指导城市社区、涉农社区居（村）委员会换届选举和组织制度建设，推动社区（村）自治和基层民主政治建设，指导社区工作和社区服务管理工作；负责协调有关部门，妥善处理小区物业管理、弃管小区有关问题，协助指导业主委员会相关工作；负责社区教育科普、文化旅游、艺术体育、卫生计生、医疗保障等服务保障工作；负责将现有的党的建设、社会保障、综合治理、应急管理、社会救助等网格整合为一个网格，科学配置网格员力量，实现“多网合一、一员多能”。负责加强社区综合服务站点建设，设置便民服务站，推动基本公共服务事项进驻社区办理。</w:t>
      </w:r>
      <w:r>
        <w:rPr>
          <w:rFonts w:hint="eastAsia" w:ascii="仿宋" w:hAnsi="仿宋" w:eastAsia="仿宋" w:cs="仿宋"/>
          <w:sz w:val="32"/>
          <w:szCs w:val="32"/>
          <w:lang w:eastAsia="zh-CN"/>
        </w:rPr>
        <w:t>负责</w:t>
      </w:r>
      <w:r>
        <w:rPr>
          <w:rFonts w:hint="eastAsia" w:ascii="仿宋" w:hAnsi="仿宋" w:eastAsia="仿宋" w:cs="仿宋"/>
          <w:sz w:val="32"/>
          <w:szCs w:val="32"/>
        </w:rPr>
        <w:t>承办街道党工委交办的临时性工作。</w:t>
      </w:r>
    </w:p>
    <w:p w14:paraId="01A98186">
      <w:pPr>
        <w:pStyle w:val="2"/>
        <w:pageBreakBefore w:val="0"/>
        <w:widowControl w:val="0"/>
        <w:kinsoku/>
        <w:wordWrap/>
        <w:overflowPunct/>
        <w:topLinePunct w:val="0"/>
        <w:autoSpaceDE/>
        <w:autoSpaceDN/>
        <w:bidi w:val="0"/>
        <w:adjustRightInd/>
        <w:snapToGrid/>
        <w:spacing w:line="520" w:lineRule="exact"/>
        <w:ind w:left="0" w:leftChars="0" w:firstLine="0" w:firstLineChars="0"/>
        <w:textAlignment w:val="auto"/>
        <w:rPr>
          <w:rFonts w:hint="eastAsia" w:ascii="仿宋" w:hAnsi="仿宋" w:eastAsia="仿宋" w:cs="仿宋"/>
          <w:sz w:val="32"/>
          <w:szCs w:val="32"/>
        </w:rPr>
      </w:pPr>
      <w:r>
        <w:rPr>
          <w:rFonts w:hint="eastAsia" w:ascii="仿宋" w:hAnsi="仿宋" w:eastAsia="仿宋" w:cs="仿宋"/>
          <w:sz w:val="32"/>
          <w:szCs w:val="32"/>
          <w:lang w:eastAsia="zh-CN"/>
        </w:rPr>
        <w:t xml:space="preserve">    </w:t>
      </w:r>
      <w:r>
        <w:rPr>
          <w:rFonts w:hint="eastAsia" w:ascii="仿宋" w:hAnsi="仿宋" w:eastAsia="仿宋" w:cs="仿宋"/>
          <w:sz w:val="32"/>
          <w:szCs w:val="32"/>
        </w:rPr>
        <w:t>8.纪工委（监察办公室）</w:t>
      </w:r>
    </w:p>
    <w:p w14:paraId="204BB16F">
      <w:pPr>
        <w:pStyle w:val="9"/>
        <w:pageBreakBefore w:val="0"/>
        <w:widowControl w:val="0"/>
        <w:kinsoku/>
        <w:wordWrap/>
        <w:overflowPunct/>
        <w:topLinePunct w:val="0"/>
        <w:autoSpaceDE/>
        <w:autoSpaceDN/>
        <w:bidi w:val="0"/>
        <w:adjustRightInd/>
        <w:snapToGrid/>
        <w:spacing w:line="520" w:lineRule="exact"/>
        <w:ind w:firstLine="632"/>
        <w:textAlignment w:val="auto"/>
        <w:rPr>
          <w:rFonts w:hint="eastAsia" w:ascii="仿宋" w:hAnsi="仿宋" w:eastAsia="仿宋" w:cs="仿宋"/>
          <w:sz w:val="32"/>
          <w:szCs w:val="32"/>
        </w:rPr>
      </w:pPr>
      <w:r>
        <w:rPr>
          <w:rFonts w:hint="eastAsia" w:ascii="仿宋" w:hAnsi="仿宋" w:eastAsia="仿宋" w:cs="仿宋"/>
          <w:sz w:val="32"/>
          <w:szCs w:val="32"/>
        </w:rPr>
        <w:t>街道纪工委在街道党工委和区纪律检查委员会双重领导下开展工作。负责监督检查街道党政领导班子及其成员贯彻执行党的路线方针政策、遵守法律法规和执行上级党委决定、落实党风廉政建设责任制、贯彻民主集中制、遵守廉洁自律各项规定的情况；负责对党员领导干部进行监督，监督检查党的各项强农惠农政策落实情况，扶贫资金项目、其他涉农项目和专项资金使用情况，集体资金、资产和资源管理情况，切实纠正损害群众利益的突出问题；负责协助街道党工委加强党风廉政建设和反腐败工作；负责坚持全面从严治党，推进农村、社区正风肃纪工作；负责协助街道党政领导班子抓好党务、政务、村（居）务公开工作和其他便民利民措施的落实，指导村（社区）纪检监察监督员开展工作；负责受理群众信访举报，按照干部管理权限，参与调查和处理所属辖区内党组织和党员违反党章党规党纪的案件；负责受理职责范围内的控告和申诉，尊重和保障党员权利，认真解决群众合理诉求，维护群众合法权益；负责对辖区内党员干部进行廉政教育，组织开展农村、社区廉政文化建设；负责承办区纪律检查委员会和街道党工委交办的相关事项及街道党工委交办的临时性工作。</w:t>
      </w:r>
    </w:p>
    <w:p w14:paraId="1F073D2A">
      <w:pPr>
        <w:pStyle w:val="9"/>
        <w:pageBreakBefore w:val="0"/>
        <w:widowControl w:val="0"/>
        <w:kinsoku/>
        <w:wordWrap/>
        <w:overflowPunct/>
        <w:topLinePunct w:val="0"/>
        <w:autoSpaceDE/>
        <w:autoSpaceDN/>
        <w:bidi w:val="0"/>
        <w:adjustRightInd/>
        <w:snapToGrid/>
        <w:spacing w:line="520" w:lineRule="exact"/>
        <w:ind w:firstLine="632"/>
        <w:textAlignment w:val="auto"/>
        <w:rPr>
          <w:rFonts w:hint="eastAsia" w:ascii="宋体" w:hAnsi="宋体" w:eastAsia="宋体" w:cs="宋体"/>
          <w:sz w:val="32"/>
          <w:szCs w:val="32"/>
        </w:rPr>
      </w:pPr>
      <w:r>
        <w:rPr>
          <w:rFonts w:hint="eastAsia" w:ascii="仿宋" w:hAnsi="仿宋" w:eastAsia="仿宋" w:cs="仿宋"/>
          <w:sz w:val="32"/>
          <w:szCs w:val="32"/>
        </w:rPr>
        <w:t>街道监察办公室与纪工委合署办公，依据区监察委员会授权，街道监察办公室履行监督调查处置职责，重点是日常监督。负责对街道管辖的监察对象依法履职、秉公用权、廉洁从政从业以及道德操守情况进行监督检查；经区监察委员会批准，负责对涉嫌贪污贿赂、滥用职权、玩忽职守、权力寻租、利益输送、徇私舞弊以及浪费国家资财等职务违法行为进行调查；负责对违法的监察对象依法进行处置，需要给予处分的，向区监察委员会提出处分建议，由区监察委员会作出政务处分决定或有任免机关、单位给予处分；负责对履职不力、失职失责的领导人员，按照管理权限进行问责或提出问责建议；负责向监察对象所在单位提出监察建议；负责承办区监察委员会交办的相关事项。</w:t>
      </w:r>
    </w:p>
    <w:p w14:paraId="475B05E8">
      <w:pPr>
        <w:ind w:firstLine="640" w:firstLineChars="200"/>
        <w:jc w:val="left"/>
        <w:rPr>
          <w:rFonts w:hint="eastAsia" w:ascii="黑体" w:eastAsia="黑体"/>
          <w:sz w:val="32"/>
          <w:szCs w:val="32"/>
        </w:rPr>
      </w:pPr>
      <w:r>
        <w:rPr>
          <w:rFonts w:hint="eastAsia" w:ascii="黑体" w:eastAsia="黑体"/>
          <w:sz w:val="32"/>
          <w:szCs w:val="32"/>
        </w:rPr>
        <w:t>二、部门预算单位构成</w:t>
      </w:r>
    </w:p>
    <w:p w14:paraId="53D13592">
      <w:pPr>
        <w:ind w:firstLine="643" w:firstLineChars="200"/>
        <w:jc w:val="left"/>
        <w:rPr>
          <w:rFonts w:hint="eastAsia" w:ascii="仿宋_GB2312" w:eastAsia="仿宋_GB2312"/>
          <w:b/>
          <w:sz w:val="32"/>
          <w:szCs w:val="32"/>
        </w:rPr>
      </w:pPr>
      <w:r>
        <w:rPr>
          <w:rFonts w:hint="eastAsia" w:ascii="仿宋_GB2312" w:eastAsia="仿宋_GB2312"/>
          <w:b/>
          <w:sz w:val="32"/>
          <w:szCs w:val="32"/>
        </w:rPr>
        <w:t>纳入沈阳市</w:t>
      </w:r>
      <w:r>
        <w:rPr>
          <w:rFonts w:hint="eastAsia" w:ascii="仿宋_GB2312" w:eastAsia="仿宋_GB2312"/>
          <w:b/>
          <w:sz w:val="32"/>
          <w:szCs w:val="32"/>
          <w:lang w:eastAsia="zh-CN"/>
        </w:rPr>
        <w:t>浑南区高坎街道办事处</w:t>
      </w:r>
      <w:r>
        <w:rPr>
          <w:rFonts w:hint="eastAsia" w:ascii="仿宋_GB2312" w:eastAsia="仿宋_GB2312"/>
          <w:b/>
          <w:sz w:val="32"/>
          <w:szCs w:val="32"/>
        </w:rPr>
        <w:t>2021年部门预算编制范围预算单位包括：</w:t>
      </w:r>
    </w:p>
    <w:p w14:paraId="6705AEEC">
      <w:pPr>
        <w:ind w:left="840"/>
        <w:jc w:val="left"/>
        <w:rPr>
          <w:rFonts w:hint="eastAsia" w:ascii="仿宋_GB2312" w:hAnsi="仿宋_GB2312" w:eastAsia="仿宋_GB2312"/>
          <w:sz w:val="32"/>
          <w:szCs w:val="32"/>
        </w:rPr>
      </w:pPr>
      <w:r>
        <w:rPr>
          <w:rFonts w:hint="eastAsia" w:ascii="仿宋_GB2312" w:eastAsia="仿宋_GB2312"/>
          <w:b w:val="0"/>
          <w:bCs/>
          <w:sz w:val="32"/>
          <w:szCs w:val="32"/>
          <w:lang w:eastAsia="zh-CN"/>
        </w:rPr>
        <w:t>沈阳市浑南区高坎街道办事处本级</w:t>
      </w:r>
    </w:p>
    <w:p w14:paraId="05B91A01">
      <w:pPr>
        <w:ind w:left="1260"/>
        <w:jc w:val="left"/>
        <w:rPr>
          <w:rFonts w:hint="eastAsia" w:ascii="仿宋_GB2312" w:eastAsia="仿宋_GB2312"/>
          <w:sz w:val="32"/>
          <w:szCs w:val="32"/>
        </w:rPr>
      </w:pPr>
    </w:p>
    <w:p w14:paraId="1367B7ED">
      <w:pPr>
        <w:ind w:firstLine="705" w:firstLineChars="196"/>
        <w:rPr>
          <w:rFonts w:hint="eastAsia" w:ascii="宋体" w:hAnsi="宋体"/>
          <w:sz w:val="36"/>
          <w:szCs w:val="36"/>
        </w:rPr>
      </w:pPr>
    </w:p>
    <w:p w14:paraId="19AD8592">
      <w:pPr>
        <w:jc w:val="center"/>
        <w:rPr>
          <w:rFonts w:hint="eastAsia" w:ascii="宋体" w:hAnsi="宋体"/>
          <w:b/>
          <w:sz w:val="36"/>
          <w:szCs w:val="36"/>
        </w:rPr>
      </w:pPr>
    </w:p>
    <w:p w14:paraId="4D7ED1E2">
      <w:pPr>
        <w:jc w:val="center"/>
        <w:rPr>
          <w:rFonts w:hint="eastAsia" w:ascii="宋体" w:hAnsi="宋体"/>
          <w:b/>
          <w:sz w:val="36"/>
          <w:szCs w:val="36"/>
        </w:rPr>
      </w:pPr>
    </w:p>
    <w:p w14:paraId="717D0716">
      <w:pPr>
        <w:jc w:val="center"/>
        <w:rPr>
          <w:rFonts w:hint="eastAsia" w:ascii="宋体" w:hAnsi="宋体"/>
          <w:b/>
          <w:sz w:val="36"/>
          <w:szCs w:val="36"/>
        </w:rPr>
      </w:pPr>
    </w:p>
    <w:p w14:paraId="25928DBF">
      <w:pPr>
        <w:jc w:val="center"/>
        <w:rPr>
          <w:rFonts w:hint="eastAsia" w:ascii="宋体" w:hAnsi="宋体"/>
          <w:b/>
          <w:sz w:val="36"/>
          <w:szCs w:val="36"/>
        </w:rPr>
      </w:pPr>
    </w:p>
    <w:p w14:paraId="1EC8A810">
      <w:pPr>
        <w:jc w:val="center"/>
        <w:rPr>
          <w:rFonts w:hint="eastAsia" w:ascii="宋体" w:hAnsi="宋体"/>
          <w:b/>
          <w:sz w:val="36"/>
          <w:szCs w:val="36"/>
        </w:rPr>
      </w:pPr>
    </w:p>
    <w:p w14:paraId="1E69EB74">
      <w:pPr>
        <w:jc w:val="center"/>
        <w:rPr>
          <w:rFonts w:hint="eastAsia" w:ascii="仿宋_GB2312" w:eastAsia="仿宋_GB2312"/>
          <w:sz w:val="32"/>
          <w:szCs w:val="32"/>
        </w:rPr>
      </w:pPr>
      <w:r>
        <w:rPr>
          <w:rFonts w:hint="eastAsia" w:ascii="宋体" w:hAnsi="宋体"/>
          <w:b/>
          <w:sz w:val="36"/>
          <w:szCs w:val="36"/>
        </w:rPr>
        <w:t>第二部分 沈阳市</w:t>
      </w:r>
      <w:r>
        <w:rPr>
          <w:rFonts w:hint="eastAsia" w:ascii="宋体" w:hAnsi="宋体"/>
          <w:b/>
          <w:sz w:val="36"/>
          <w:szCs w:val="36"/>
          <w:lang w:eastAsia="zh-CN"/>
        </w:rPr>
        <w:t>浑南区高坎街道办事处</w:t>
      </w:r>
      <w:r>
        <w:rPr>
          <w:rFonts w:hint="eastAsia" w:ascii="宋体" w:hAnsi="宋体"/>
          <w:b/>
          <w:sz w:val="36"/>
          <w:szCs w:val="36"/>
        </w:rPr>
        <w:t>2021年部门预算公开表</w:t>
      </w:r>
    </w:p>
    <w:p w14:paraId="1DA6CC83">
      <w:pPr>
        <w:jc w:val="center"/>
        <w:rPr>
          <w:rFonts w:hint="eastAsia" w:ascii="黑体" w:eastAsia="黑体"/>
          <w:sz w:val="32"/>
          <w:szCs w:val="32"/>
        </w:rPr>
      </w:pPr>
    </w:p>
    <w:p w14:paraId="3469A55C">
      <w:pPr>
        <w:jc w:val="center"/>
        <w:rPr>
          <w:rFonts w:ascii="黑体" w:eastAsia="黑体"/>
          <w:sz w:val="32"/>
          <w:szCs w:val="32"/>
        </w:rPr>
        <w:sectPr>
          <w:headerReference r:id="rId5" w:type="first"/>
          <w:footerReference r:id="rId8" w:type="first"/>
          <w:headerReference r:id="rId3" w:type="default"/>
          <w:footerReference r:id="rId6" w:type="default"/>
          <w:headerReference r:id="rId4" w:type="even"/>
          <w:footerReference r:id="rId7" w:type="even"/>
          <w:pgSz w:w="11906" w:h="16838"/>
          <w:pgMar w:top="1440" w:right="1797" w:bottom="1440" w:left="1797" w:header="851" w:footer="992" w:gutter="0"/>
          <w:cols w:space="425" w:num="1"/>
          <w:docGrid w:type="lines" w:linePitch="312" w:charSpace="0"/>
        </w:sectPr>
      </w:pPr>
    </w:p>
    <w:p w14:paraId="7E496721">
      <w:pPr>
        <w:jc w:val="center"/>
        <w:rPr>
          <w:rFonts w:hint="eastAsia" w:ascii="宋体" w:hAnsi="宋体"/>
          <w:b/>
          <w:sz w:val="36"/>
          <w:szCs w:val="36"/>
        </w:rPr>
      </w:pPr>
      <w:r>
        <w:rPr>
          <w:rFonts w:hint="eastAsia" w:ascii="宋体" w:hAnsi="宋体"/>
          <w:b/>
          <w:sz w:val="36"/>
          <w:szCs w:val="36"/>
        </w:rPr>
        <w:t>第三部分 沈阳市</w:t>
      </w:r>
      <w:r>
        <w:rPr>
          <w:rFonts w:hint="eastAsia" w:ascii="宋体" w:hAnsi="宋体"/>
          <w:b/>
          <w:sz w:val="36"/>
          <w:szCs w:val="36"/>
          <w:lang w:eastAsia="zh-CN"/>
        </w:rPr>
        <w:t>浑南区高坎街道</w:t>
      </w:r>
      <w:r>
        <w:rPr>
          <w:rFonts w:hint="eastAsia" w:ascii="宋体" w:hAnsi="宋体"/>
          <w:b/>
          <w:sz w:val="36"/>
          <w:szCs w:val="36"/>
        </w:rPr>
        <w:t>2021年部门预算情况说明</w:t>
      </w:r>
    </w:p>
    <w:p w14:paraId="18C0A88C">
      <w:pPr>
        <w:rPr>
          <w:rFonts w:hint="eastAsia" w:ascii="宋体" w:hAnsi="宋体"/>
          <w:b/>
          <w:sz w:val="36"/>
          <w:szCs w:val="36"/>
        </w:rPr>
      </w:pPr>
    </w:p>
    <w:p w14:paraId="11D7E694">
      <w:pPr>
        <w:ind w:firstLine="627" w:firstLineChars="196"/>
        <w:rPr>
          <w:rFonts w:hint="eastAsia" w:ascii="黑体" w:hAnsi="黑体" w:eastAsia="黑体"/>
          <w:sz w:val="32"/>
          <w:szCs w:val="32"/>
        </w:rPr>
      </w:pPr>
      <w:r>
        <w:rPr>
          <w:rFonts w:hint="eastAsia" w:ascii="黑体" w:hAnsi="黑体" w:eastAsia="黑体"/>
          <w:sz w:val="32"/>
          <w:szCs w:val="32"/>
        </w:rPr>
        <w:t>一、关于沈阳市</w:t>
      </w:r>
      <w:r>
        <w:rPr>
          <w:rFonts w:hint="eastAsia" w:ascii="黑体" w:hAnsi="黑体" w:eastAsia="黑体"/>
          <w:sz w:val="32"/>
          <w:szCs w:val="32"/>
          <w:lang w:eastAsia="zh-CN"/>
        </w:rPr>
        <w:t>浑南区高坎街道办事处</w:t>
      </w:r>
      <w:r>
        <w:rPr>
          <w:rFonts w:hint="eastAsia" w:ascii="黑体" w:hAnsi="黑体" w:eastAsia="黑体"/>
          <w:sz w:val="32"/>
          <w:szCs w:val="32"/>
        </w:rPr>
        <w:t>2021年收支预算的总体说明</w:t>
      </w:r>
    </w:p>
    <w:p w14:paraId="06B015D7">
      <w:pPr>
        <w:ind w:firstLine="660"/>
        <w:rPr>
          <w:rFonts w:hint="eastAsia" w:ascii="仿宋_GB2312" w:hAnsi="宋体" w:eastAsia="仿宋_GB2312"/>
          <w:sz w:val="32"/>
          <w:szCs w:val="32"/>
          <w:highlight w:val="yellow"/>
        </w:rPr>
      </w:pPr>
      <w:r>
        <w:rPr>
          <w:rFonts w:hint="eastAsia" w:ascii="仿宋_GB2312" w:hAnsi="宋体" w:eastAsia="仿宋_GB2312"/>
          <w:sz w:val="32"/>
          <w:szCs w:val="32"/>
        </w:rPr>
        <w:t>按照综合预算的原则，沈阳市浑南区高坎街道办事处所有收入和支出均纳入部门预算管理。收入包括：一般公共预算拨款收入、政府性基金预算拨款收入、纳入专户管理的预算外资金安排的拨款收入、上级补助及附属单位上缴收入、财政结转资金、单位上年净结余、单位事业收入、单位其他收入；支出包括：一般公共服务支出、财政事务、社会保障和就业支出、医疗卫生与计划生育支出、住房保障支出等。沈阳市</w:t>
      </w:r>
      <w:r>
        <w:rPr>
          <w:rFonts w:hint="eastAsia" w:ascii="仿宋_GB2312" w:hAnsi="宋体" w:eastAsia="仿宋_GB2312"/>
          <w:sz w:val="32"/>
          <w:szCs w:val="32"/>
          <w:lang w:eastAsia="zh-CN"/>
        </w:rPr>
        <w:t>浑南区高坎街道办事处</w:t>
      </w:r>
      <w:r>
        <w:rPr>
          <w:rFonts w:hint="eastAsia" w:ascii="仿宋_GB2312" w:hAnsi="宋体" w:eastAsia="仿宋_GB2312"/>
          <w:sz w:val="32"/>
          <w:szCs w:val="32"/>
        </w:rPr>
        <w:t>2021年收支总预算</w:t>
      </w:r>
      <w:r>
        <w:rPr>
          <w:rFonts w:hint="eastAsia" w:ascii="仿宋_GB2312" w:hAnsi="宋体" w:eastAsia="仿宋_GB2312"/>
          <w:sz w:val="32"/>
          <w:szCs w:val="32"/>
          <w:lang w:val="en-US" w:eastAsia="zh-CN"/>
        </w:rPr>
        <w:t>2302.48</w:t>
      </w:r>
      <w:r>
        <w:rPr>
          <w:rFonts w:hint="eastAsia" w:ascii="仿宋_GB2312" w:hAnsi="宋体" w:eastAsia="仿宋_GB2312"/>
          <w:sz w:val="32"/>
          <w:szCs w:val="32"/>
        </w:rPr>
        <w:t>万元，比2020年收支总预算</w:t>
      </w:r>
      <w:r>
        <w:rPr>
          <w:rFonts w:hint="eastAsia" w:ascii="仿宋_GB2312" w:hAnsi="宋体" w:eastAsia="仿宋_GB2312"/>
          <w:sz w:val="32"/>
          <w:szCs w:val="32"/>
          <w:lang w:val="en-US" w:eastAsia="zh-CN"/>
        </w:rPr>
        <w:t>2160.28</w:t>
      </w:r>
      <w:r>
        <w:rPr>
          <w:rFonts w:hint="eastAsia" w:ascii="仿宋_GB2312" w:hAnsi="宋体" w:eastAsia="仿宋_GB2312"/>
          <w:sz w:val="32"/>
          <w:szCs w:val="32"/>
        </w:rPr>
        <w:t>万元增加</w:t>
      </w:r>
      <w:r>
        <w:rPr>
          <w:rFonts w:hint="eastAsia" w:ascii="仿宋_GB2312" w:hAnsi="宋体" w:eastAsia="仿宋_GB2312"/>
          <w:sz w:val="32"/>
          <w:szCs w:val="32"/>
          <w:lang w:val="en-US" w:eastAsia="zh-CN"/>
        </w:rPr>
        <w:t>142.2</w:t>
      </w:r>
      <w:r>
        <w:rPr>
          <w:rFonts w:hint="eastAsia" w:ascii="仿宋_GB2312" w:hAnsi="宋体" w:eastAsia="仿宋_GB2312"/>
          <w:sz w:val="32"/>
          <w:szCs w:val="32"/>
        </w:rPr>
        <w:t>万元，</w:t>
      </w:r>
      <w:r>
        <w:rPr>
          <w:rFonts w:hint="eastAsia" w:ascii="仿宋" w:hAnsi="仿宋" w:eastAsia="仿宋"/>
          <w:sz w:val="32"/>
          <w:szCs w:val="32"/>
        </w:rPr>
        <w:t>主要是由于2021年增加秸秆、荒草处置专项经费、</w:t>
      </w:r>
      <w:r>
        <w:rPr>
          <w:rFonts w:hint="eastAsia" w:ascii="仿宋" w:hAnsi="仿宋" w:eastAsia="仿宋"/>
          <w:sz w:val="32"/>
          <w:szCs w:val="32"/>
          <w:lang w:eastAsia="zh-CN"/>
        </w:rPr>
        <w:t>乱排乱卸工作经费</w:t>
      </w:r>
      <w:r>
        <w:rPr>
          <w:rFonts w:hint="eastAsia" w:ascii="仿宋" w:hAnsi="仿宋" w:eastAsia="仿宋"/>
          <w:sz w:val="32"/>
          <w:szCs w:val="32"/>
        </w:rPr>
        <w:t>、换届选举工作经费、新建卫生室</w:t>
      </w:r>
      <w:r>
        <w:rPr>
          <w:rFonts w:hint="eastAsia" w:ascii="仿宋" w:hAnsi="仿宋" w:eastAsia="仿宋"/>
          <w:sz w:val="32"/>
          <w:szCs w:val="32"/>
          <w:lang w:eastAsia="zh-CN"/>
        </w:rPr>
        <w:t>等相关费用</w:t>
      </w:r>
      <w:r>
        <w:rPr>
          <w:rFonts w:hint="eastAsia" w:ascii="仿宋" w:hAnsi="仿宋" w:eastAsia="仿宋"/>
          <w:sz w:val="32"/>
          <w:szCs w:val="32"/>
        </w:rPr>
        <w:t>支出。</w:t>
      </w:r>
    </w:p>
    <w:p w14:paraId="540CE1F7">
      <w:pPr>
        <w:ind w:firstLine="660"/>
        <w:rPr>
          <w:rFonts w:hint="eastAsia" w:ascii="黑体" w:hAnsi="黑体" w:eastAsia="黑体"/>
          <w:sz w:val="32"/>
          <w:szCs w:val="32"/>
        </w:rPr>
      </w:pPr>
      <w:r>
        <w:rPr>
          <w:rFonts w:hint="eastAsia" w:ascii="黑体" w:hAnsi="黑体" w:eastAsia="黑体"/>
          <w:sz w:val="32"/>
          <w:szCs w:val="32"/>
        </w:rPr>
        <w:t>二、关于</w:t>
      </w:r>
      <w:r>
        <w:rPr>
          <w:rFonts w:hint="eastAsia" w:ascii="黑体" w:hAnsi="黑体" w:eastAsia="黑体"/>
          <w:sz w:val="32"/>
          <w:szCs w:val="32"/>
          <w:lang w:eastAsia="zh-CN"/>
        </w:rPr>
        <w:t>浑南区高坎街道办事处</w:t>
      </w:r>
      <w:r>
        <w:rPr>
          <w:rFonts w:hint="eastAsia" w:ascii="黑体" w:hAnsi="黑体" w:eastAsia="黑体"/>
          <w:sz w:val="32"/>
          <w:szCs w:val="32"/>
        </w:rPr>
        <w:t>一般公共预算2021年“三公”经费预算支出情况说明</w:t>
      </w:r>
    </w:p>
    <w:p w14:paraId="6C8A05D7">
      <w:pPr>
        <w:ind w:firstLine="645"/>
        <w:rPr>
          <w:rFonts w:hint="eastAsia" w:ascii="仿宋_GB2312" w:hAnsi="宋体" w:eastAsia="仿宋_GB2312"/>
          <w:sz w:val="32"/>
          <w:szCs w:val="32"/>
        </w:rPr>
      </w:pPr>
      <w:r>
        <w:rPr>
          <w:rFonts w:hint="eastAsia" w:ascii="仿宋_GB2312" w:hAnsi="宋体" w:eastAsia="仿宋_GB2312"/>
          <w:sz w:val="32"/>
          <w:szCs w:val="32"/>
        </w:rPr>
        <w:t>2021年一般公共预算“三公”经费预算数</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万元，其中：因公出国（境）费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万元；公务接待费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万元；公务用车购置及运行费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eastAsia="zh-CN"/>
        </w:rPr>
        <w:t>202</w:t>
      </w:r>
      <w:r>
        <w:rPr>
          <w:rFonts w:hint="eastAsia" w:ascii="仿宋_GB2312" w:hAnsi="宋体" w:eastAsia="仿宋_GB2312"/>
          <w:sz w:val="32"/>
          <w:szCs w:val="32"/>
          <w:lang w:val="en-US" w:eastAsia="zh-CN"/>
        </w:rPr>
        <w:t>1</w:t>
      </w:r>
      <w:r>
        <w:rPr>
          <w:rFonts w:hint="eastAsia" w:ascii="仿宋_GB2312" w:hAnsi="宋体" w:eastAsia="仿宋_GB2312"/>
          <w:sz w:val="32"/>
          <w:szCs w:val="32"/>
        </w:rPr>
        <w:t>年预算数</w:t>
      </w:r>
      <w:r>
        <w:rPr>
          <w:rFonts w:hint="eastAsia" w:ascii="仿宋_GB2312" w:hAnsi="宋体" w:eastAsia="仿宋_GB2312"/>
          <w:sz w:val="32"/>
          <w:szCs w:val="32"/>
          <w:lang w:eastAsia="zh-CN"/>
        </w:rPr>
        <w:t>与20</w:t>
      </w:r>
      <w:r>
        <w:rPr>
          <w:rFonts w:hint="eastAsia" w:ascii="仿宋_GB2312" w:hAnsi="宋体" w:eastAsia="仿宋_GB2312"/>
          <w:sz w:val="32"/>
          <w:szCs w:val="32"/>
          <w:lang w:val="en-US" w:eastAsia="zh-CN"/>
        </w:rPr>
        <w:t>20</w:t>
      </w:r>
      <w:r>
        <w:rPr>
          <w:rFonts w:hint="eastAsia" w:ascii="仿宋_GB2312" w:hAnsi="宋体" w:eastAsia="仿宋_GB2312"/>
          <w:sz w:val="32"/>
          <w:szCs w:val="32"/>
        </w:rPr>
        <w:t>年预算数</w:t>
      </w:r>
      <w:r>
        <w:rPr>
          <w:rFonts w:hint="eastAsia" w:ascii="仿宋" w:hAnsi="仿宋" w:eastAsia="仿宋"/>
          <w:sz w:val="32"/>
          <w:szCs w:val="32"/>
        </w:rPr>
        <w:t>相同</w:t>
      </w:r>
      <w:r>
        <w:rPr>
          <w:rFonts w:hint="eastAsia" w:ascii="仿宋_GB2312" w:hAnsi="宋体" w:eastAsia="仿宋_GB2312"/>
          <w:sz w:val="32"/>
          <w:szCs w:val="32"/>
        </w:rPr>
        <w:t>。</w:t>
      </w:r>
    </w:p>
    <w:p w14:paraId="0E8CF445">
      <w:pPr>
        <w:ind w:firstLine="627" w:firstLineChars="196"/>
        <w:rPr>
          <w:rFonts w:hint="eastAsia" w:ascii="黑体" w:hAnsi="黑体" w:eastAsia="黑体"/>
          <w:sz w:val="32"/>
          <w:szCs w:val="32"/>
        </w:rPr>
      </w:pPr>
      <w:r>
        <w:rPr>
          <w:rFonts w:hint="eastAsia" w:ascii="黑体" w:hAnsi="黑体" w:eastAsia="黑体"/>
          <w:sz w:val="32"/>
          <w:szCs w:val="32"/>
        </w:rPr>
        <w:t>三、其他重要事项的情况说明</w:t>
      </w:r>
    </w:p>
    <w:p w14:paraId="15B8F46B">
      <w:pPr>
        <w:ind w:firstLine="645"/>
        <w:rPr>
          <w:rFonts w:hint="eastAsia" w:ascii="楷体_GB2312" w:hAnsi="宋体" w:eastAsia="楷体_GB2312"/>
          <w:sz w:val="32"/>
          <w:szCs w:val="32"/>
        </w:rPr>
      </w:pPr>
      <w:r>
        <w:rPr>
          <w:rFonts w:hint="eastAsia" w:ascii="楷体_GB2312" w:hAnsi="宋体" w:eastAsia="楷体_GB2312"/>
          <w:sz w:val="32"/>
          <w:szCs w:val="32"/>
        </w:rPr>
        <w:t>（一）机关运行经费安排情况。</w:t>
      </w:r>
    </w:p>
    <w:p w14:paraId="1B22BD81">
      <w:pPr>
        <w:ind w:firstLine="645"/>
        <w:rPr>
          <w:rFonts w:hint="eastAsia" w:ascii="仿宋_GB2312" w:hAnsi="宋体" w:eastAsia="仿宋_GB2312"/>
          <w:sz w:val="32"/>
          <w:szCs w:val="32"/>
        </w:rPr>
      </w:pPr>
      <w:r>
        <w:rPr>
          <w:rFonts w:hint="eastAsia" w:ascii="仿宋_GB2312" w:hAnsi="宋体" w:eastAsia="仿宋_GB2312"/>
          <w:sz w:val="32"/>
          <w:szCs w:val="32"/>
        </w:rPr>
        <w:t>2021年沈阳</w:t>
      </w:r>
      <w:r>
        <w:rPr>
          <w:rFonts w:hint="eastAsia" w:ascii="仿宋_GB2312" w:hAnsi="宋体" w:eastAsia="仿宋_GB2312"/>
          <w:sz w:val="32"/>
          <w:szCs w:val="32"/>
          <w:lang w:eastAsia="zh-CN"/>
        </w:rPr>
        <w:t>浑南区高坎街道办事处</w:t>
      </w:r>
      <w:r>
        <w:rPr>
          <w:rFonts w:hint="eastAsia" w:ascii="仿宋_GB2312" w:hAnsi="宋体" w:eastAsia="仿宋_GB2312"/>
          <w:sz w:val="32"/>
          <w:szCs w:val="32"/>
        </w:rPr>
        <w:t>本级机关运行经费财政拨款预算</w:t>
      </w:r>
      <w:r>
        <w:rPr>
          <w:rFonts w:hint="eastAsia" w:ascii="仿宋_GB2312" w:hAnsi="宋体" w:eastAsia="仿宋_GB2312"/>
          <w:sz w:val="32"/>
          <w:szCs w:val="32"/>
          <w:lang w:val="en-US" w:eastAsia="zh-CN"/>
        </w:rPr>
        <w:t>71.54</w:t>
      </w:r>
      <w:r>
        <w:rPr>
          <w:rFonts w:hint="eastAsia" w:ascii="仿宋_GB2312" w:hAnsi="宋体" w:eastAsia="仿宋_GB2312"/>
          <w:sz w:val="32"/>
          <w:szCs w:val="32"/>
        </w:rPr>
        <w:t>万元，比2020年预算</w:t>
      </w:r>
      <w:r>
        <w:rPr>
          <w:rFonts w:hint="eastAsia" w:ascii="仿宋_GB2312" w:hAnsi="宋体" w:eastAsia="仿宋_GB2312"/>
          <w:sz w:val="32"/>
          <w:szCs w:val="32"/>
          <w:lang w:val="en-US" w:eastAsia="zh-CN"/>
        </w:rPr>
        <w:t>66.48万元，</w:t>
      </w:r>
      <w:r>
        <w:rPr>
          <w:rFonts w:hint="eastAsia" w:ascii="仿宋_GB2312" w:hAnsi="宋体" w:eastAsia="仿宋_GB2312"/>
          <w:sz w:val="32"/>
          <w:szCs w:val="32"/>
          <w:lang w:eastAsia="zh-CN"/>
        </w:rPr>
        <w:t>增加</w:t>
      </w:r>
      <w:r>
        <w:rPr>
          <w:rFonts w:hint="eastAsia" w:ascii="仿宋_GB2312" w:hAnsi="宋体" w:eastAsia="仿宋_GB2312"/>
          <w:sz w:val="32"/>
          <w:szCs w:val="32"/>
          <w:lang w:val="en-US" w:eastAsia="zh-CN"/>
        </w:rPr>
        <w:t>5.06</w:t>
      </w:r>
      <w:r>
        <w:rPr>
          <w:rFonts w:hint="eastAsia" w:ascii="仿宋_GB2312" w:hAnsi="宋体" w:eastAsia="仿宋_GB2312"/>
          <w:sz w:val="32"/>
          <w:szCs w:val="32"/>
        </w:rPr>
        <w:t>万元，</w:t>
      </w:r>
      <w:r>
        <w:rPr>
          <w:rFonts w:hint="eastAsia" w:ascii="仿宋_GB2312" w:hAnsi="宋体" w:eastAsia="仿宋_GB2312"/>
          <w:sz w:val="32"/>
          <w:szCs w:val="32"/>
          <w:lang w:eastAsia="zh-CN"/>
        </w:rPr>
        <w:t>升高</w:t>
      </w:r>
      <w:r>
        <w:rPr>
          <w:rFonts w:hint="eastAsia" w:ascii="仿宋_GB2312" w:hAnsi="宋体" w:eastAsia="仿宋_GB2312"/>
          <w:sz w:val="32"/>
          <w:szCs w:val="32"/>
          <w:lang w:val="en-US" w:eastAsia="zh-CN"/>
        </w:rPr>
        <w:t>7.6</w:t>
      </w:r>
      <w:r>
        <w:rPr>
          <w:rFonts w:hint="eastAsia" w:ascii="仿宋_GB2312" w:hAnsi="宋体" w:eastAsia="仿宋_GB2312"/>
          <w:sz w:val="32"/>
          <w:szCs w:val="32"/>
        </w:rPr>
        <w:t>%。</w:t>
      </w:r>
    </w:p>
    <w:p w14:paraId="63FAAE3C">
      <w:pPr>
        <w:ind w:firstLine="645"/>
        <w:rPr>
          <w:rFonts w:hint="eastAsia" w:ascii="仿宋_GB2312" w:hAnsi="宋体" w:eastAsia="仿宋_GB2312"/>
          <w:sz w:val="32"/>
          <w:szCs w:val="32"/>
        </w:rPr>
      </w:pPr>
      <w:r>
        <w:rPr>
          <w:rFonts w:hint="eastAsia" w:ascii="楷体_GB2312" w:hAnsi="宋体" w:eastAsia="楷体_GB2312"/>
          <w:sz w:val="32"/>
          <w:szCs w:val="32"/>
        </w:rPr>
        <w:t>（二）政府采购预算安排情况。</w:t>
      </w:r>
    </w:p>
    <w:p w14:paraId="021C680D">
      <w:pPr>
        <w:ind w:firstLine="645"/>
        <w:rPr>
          <w:rFonts w:hint="eastAsia" w:ascii="仿宋_GB2312" w:hAnsi="宋体" w:eastAsia="仿宋_GB2312"/>
          <w:sz w:val="32"/>
          <w:szCs w:val="32"/>
        </w:rPr>
      </w:pPr>
      <w:r>
        <w:rPr>
          <w:rFonts w:hint="eastAsia" w:ascii="仿宋_GB2312" w:hAnsi="宋体" w:eastAsia="仿宋_GB2312"/>
          <w:sz w:val="32"/>
          <w:szCs w:val="32"/>
        </w:rPr>
        <w:t>2021年沈阳市</w:t>
      </w:r>
      <w:r>
        <w:rPr>
          <w:rFonts w:hint="eastAsia" w:ascii="仿宋_GB2312" w:eastAsia="仿宋_GB2312"/>
          <w:b w:val="0"/>
          <w:bCs/>
          <w:sz w:val="32"/>
          <w:szCs w:val="32"/>
          <w:lang w:eastAsia="zh-CN"/>
        </w:rPr>
        <w:t>浑南区高坎街道办事处</w:t>
      </w:r>
      <w:r>
        <w:rPr>
          <w:rFonts w:hint="eastAsia" w:ascii="仿宋_GB2312" w:hAnsi="宋体" w:eastAsia="仿宋_GB2312"/>
          <w:sz w:val="32"/>
          <w:szCs w:val="32"/>
        </w:rPr>
        <w:t>采购预算</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万元，其中：政府采购货物预算</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万元、政府采购工程预算</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万元、政府采购服务预算</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p>
    <w:p w14:paraId="5DEDCCFA">
      <w:pPr>
        <w:ind w:firstLine="645"/>
        <w:rPr>
          <w:rFonts w:hint="eastAsia" w:ascii="仿宋_GB2312" w:hAnsi="宋体" w:eastAsia="仿宋_GB2312"/>
          <w:sz w:val="32"/>
          <w:szCs w:val="32"/>
        </w:rPr>
      </w:pPr>
      <w:r>
        <w:rPr>
          <w:rFonts w:hint="eastAsia" w:ascii="楷体_GB2312" w:hAnsi="宋体" w:eastAsia="楷体_GB2312"/>
          <w:sz w:val="32"/>
          <w:szCs w:val="32"/>
        </w:rPr>
        <w:t>（三）国有资产占有使用情况。</w:t>
      </w:r>
    </w:p>
    <w:p w14:paraId="3A1757DB">
      <w:pPr>
        <w:ind w:firstLine="645"/>
        <w:rPr>
          <w:rFonts w:hint="eastAsia" w:ascii="仿宋_GB2312" w:hAnsi="宋体" w:eastAsia="仿宋_GB2312"/>
          <w:sz w:val="32"/>
          <w:szCs w:val="32"/>
        </w:rPr>
      </w:pPr>
      <w:r>
        <w:rPr>
          <w:rFonts w:hint="eastAsia" w:ascii="仿宋_GB2312" w:hAnsi="宋体" w:eastAsia="仿宋_GB2312"/>
          <w:sz w:val="32"/>
          <w:szCs w:val="32"/>
        </w:rPr>
        <w:t>截至2020年</w:t>
      </w:r>
      <w:r>
        <w:rPr>
          <w:rFonts w:hint="eastAsia" w:ascii="仿宋_GB2312" w:hAnsi="宋体" w:eastAsia="仿宋_GB2312"/>
          <w:sz w:val="32"/>
          <w:szCs w:val="32"/>
          <w:lang w:val="en-US" w:eastAsia="zh-CN"/>
        </w:rPr>
        <w:t>底</w:t>
      </w:r>
      <w:r>
        <w:rPr>
          <w:rFonts w:hint="eastAsia" w:ascii="仿宋_GB2312" w:hAnsi="宋体" w:eastAsia="仿宋_GB2312"/>
          <w:sz w:val="32"/>
          <w:szCs w:val="32"/>
        </w:rPr>
        <w:t>，沈阳市</w:t>
      </w:r>
      <w:r>
        <w:rPr>
          <w:rFonts w:hint="eastAsia" w:ascii="仿宋_GB2312" w:eastAsia="仿宋_GB2312"/>
          <w:b w:val="0"/>
          <w:bCs/>
          <w:sz w:val="32"/>
          <w:szCs w:val="32"/>
          <w:lang w:eastAsia="zh-CN"/>
        </w:rPr>
        <w:t>浑南区高坎街道办事处</w:t>
      </w:r>
      <w:r>
        <w:rPr>
          <w:rFonts w:hint="eastAsia" w:ascii="仿宋_GB2312" w:hAnsi="宋体" w:eastAsia="仿宋_GB2312"/>
          <w:sz w:val="32"/>
          <w:szCs w:val="32"/>
        </w:rPr>
        <w:t>共有车辆</w:t>
      </w:r>
      <w:r>
        <w:rPr>
          <w:rFonts w:hint="eastAsia" w:ascii="仿宋_GB2312" w:hAnsi="宋体" w:eastAsia="仿宋_GB2312"/>
          <w:sz w:val="32"/>
          <w:szCs w:val="32"/>
          <w:lang w:val="en-US" w:eastAsia="zh-CN"/>
        </w:rPr>
        <w:t>9</w:t>
      </w:r>
      <w:r>
        <w:rPr>
          <w:rFonts w:hint="eastAsia" w:ascii="仿宋_GB2312" w:hAnsi="宋体" w:eastAsia="仿宋_GB2312"/>
          <w:sz w:val="32"/>
          <w:szCs w:val="32"/>
        </w:rPr>
        <w:t>辆，其中：一般公务用车</w:t>
      </w:r>
      <w:r>
        <w:rPr>
          <w:rFonts w:hint="eastAsia" w:ascii="仿宋_GB2312" w:hAnsi="宋体" w:eastAsia="仿宋_GB2312"/>
          <w:sz w:val="32"/>
          <w:szCs w:val="32"/>
          <w:lang w:val="en-US" w:eastAsia="zh-CN"/>
        </w:rPr>
        <w:t>9</w:t>
      </w:r>
      <w:r>
        <w:rPr>
          <w:rFonts w:hint="eastAsia" w:ascii="仿宋_GB2312" w:hAnsi="宋体" w:eastAsia="仿宋_GB2312"/>
          <w:sz w:val="32"/>
          <w:szCs w:val="32"/>
        </w:rPr>
        <w:t>辆。单位价值200 万元以上大型设备</w:t>
      </w:r>
      <w:r>
        <w:rPr>
          <w:rFonts w:hint="eastAsia" w:ascii="仿宋_GB2312" w:hAnsi="宋体" w:eastAsia="仿宋_GB2312"/>
          <w:sz w:val="32"/>
          <w:szCs w:val="32"/>
          <w:lang w:val="en-US" w:eastAsia="zh-CN"/>
        </w:rPr>
        <w:t>0</w:t>
      </w:r>
      <w:r>
        <w:rPr>
          <w:rFonts w:hint="eastAsia" w:ascii="仿宋_GB2312" w:hAnsi="宋体" w:eastAsia="仿宋_GB2312"/>
          <w:sz w:val="32"/>
          <w:szCs w:val="32"/>
        </w:rPr>
        <w:t>台（套）。</w:t>
      </w:r>
    </w:p>
    <w:p w14:paraId="6DEF4B07">
      <w:pPr>
        <w:ind w:firstLine="645"/>
        <w:rPr>
          <w:rFonts w:hint="eastAsia" w:ascii="仿宋_GB2312" w:hAnsi="宋体" w:eastAsia="仿宋_GB2312"/>
          <w:sz w:val="32"/>
          <w:szCs w:val="32"/>
        </w:rPr>
      </w:pPr>
      <w:r>
        <w:rPr>
          <w:rFonts w:hint="eastAsia" w:ascii="仿宋_GB2312" w:hAnsi="宋体" w:eastAsia="仿宋_GB2312"/>
          <w:sz w:val="32"/>
          <w:szCs w:val="32"/>
        </w:rPr>
        <w:t>2021年部门预算安排购置车辆</w:t>
      </w:r>
      <w:r>
        <w:rPr>
          <w:rFonts w:hint="eastAsia" w:ascii="仿宋_GB2312" w:hAnsi="宋体" w:eastAsia="仿宋_GB2312"/>
          <w:sz w:val="32"/>
          <w:szCs w:val="32"/>
          <w:lang w:val="en-US" w:eastAsia="zh-CN"/>
        </w:rPr>
        <w:t>0</w:t>
      </w:r>
      <w:r>
        <w:rPr>
          <w:rFonts w:hint="eastAsia" w:ascii="仿宋_GB2312" w:hAnsi="宋体" w:eastAsia="仿宋_GB2312"/>
          <w:sz w:val="32"/>
          <w:szCs w:val="32"/>
        </w:rPr>
        <w:t>台，安排单位价值200 万元以上大型设备</w:t>
      </w:r>
      <w:r>
        <w:rPr>
          <w:rFonts w:hint="eastAsia" w:ascii="仿宋_GB2312" w:hAnsi="宋体" w:eastAsia="仿宋_GB2312"/>
          <w:sz w:val="32"/>
          <w:szCs w:val="32"/>
          <w:lang w:val="en-US" w:eastAsia="zh-CN"/>
        </w:rPr>
        <w:t>0</w:t>
      </w:r>
      <w:r>
        <w:rPr>
          <w:rFonts w:hint="eastAsia" w:ascii="仿宋_GB2312" w:hAnsi="宋体" w:eastAsia="仿宋_GB2312"/>
          <w:sz w:val="32"/>
          <w:szCs w:val="32"/>
        </w:rPr>
        <w:t>台。</w:t>
      </w:r>
    </w:p>
    <w:p w14:paraId="2D750130">
      <w:pPr>
        <w:ind w:firstLine="645"/>
        <w:rPr>
          <w:rFonts w:hint="eastAsia" w:ascii="仿宋_GB2312" w:hAnsi="宋体" w:eastAsia="仿宋_GB2312"/>
          <w:sz w:val="32"/>
          <w:szCs w:val="32"/>
        </w:rPr>
      </w:pPr>
      <w:r>
        <w:rPr>
          <w:rFonts w:hint="eastAsia" w:ascii="楷体_GB2312" w:hAnsi="宋体" w:eastAsia="楷体_GB2312"/>
          <w:sz w:val="32"/>
          <w:szCs w:val="32"/>
        </w:rPr>
        <w:t>（四）绩效目标设置情况。</w:t>
      </w:r>
    </w:p>
    <w:p w14:paraId="2465B8D2">
      <w:pPr>
        <w:ind w:firstLine="645"/>
        <w:rPr>
          <w:rFonts w:hint="eastAsia" w:ascii="仿宋_GB2312" w:hAnsi="宋体" w:eastAsia="仿宋_GB2312"/>
          <w:sz w:val="32"/>
          <w:szCs w:val="32"/>
        </w:rPr>
      </w:pPr>
      <w:r>
        <w:rPr>
          <w:rFonts w:hint="eastAsia" w:ascii="仿宋_GB2312" w:hAnsi="宋体" w:eastAsia="仿宋_GB2312"/>
          <w:sz w:val="32"/>
          <w:szCs w:val="32"/>
          <w:lang w:eastAsia="zh-CN"/>
        </w:rPr>
        <w:t>由于编制</w:t>
      </w:r>
      <w:r>
        <w:rPr>
          <w:rFonts w:hint="eastAsia" w:ascii="仿宋_GB2312" w:hAnsi="宋体" w:eastAsia="仿宋_GB2312"/>
          <w:sz w:val="32"/>
          <w:szCs w:val="32"/>
          <w:lang w:val="en-US" w:eastAsia="zh-CN"/>
        </w:rPr>
        <w:t>2021年部门预算时，上级没有强制要求设置整体绩效目标，因此此表为空；同时，2021年没有实行一体化管理，没有划分特定目标类项目标准，此表为空。</w:t>
      </w:r>
    </w:p>
    <w:p w14:paraId="2BE39213">
      <w:pPr>
        <w:jc w:val="center"/>
        <w:rPr>
          <w:rFonts w:hint="eastAsia" w:ascii="宋体" w:hAnsi="宋体"/>
          <w:b/>
          <w:sz w:val="36"/>
          <w:szCs w:val="36"/>
        </w:rPr>
      </w:pPr>
    </w:p>
    <w:p w14:paraId="3FEE7A50">
      <w:pPr>
        <w:jc w:val="center"/>
        <w:rPr>
          <w:rFonts w:hint="eastAsia" w:ascii="宋体" w:hAnsi="宋体"/>
          <w:b/>
          <w:sz w:val="36"/>
          <w:szCs w:val="36"/>
        </w:rPr>
      </w:pPr>
    </w:p>
    <w:p w14:paraId="662A518D">
      <w:pPr>
        <w:jc w:val="center"/>
        <w:rPr>
          <w:rFonts w:hint="eastAsia" w:ascii="宋体" w:hAnsi="宋体"/>
          <w:b/>
          <w:sz w:val="36"/>
          <w:szCs w:val="36"/>
        </w:rPr>
      </w:pPr>
    </w:p>
    <w:p w14:paraId="1D2644DE">
      <w:pPr>
        <w:keepNext w:val="0"/>
        <w:keepLines w:val="0"/>
        <w:pageBreakBefore/>
        <w:widowControl w:val="0"/>
        <w:kinsoku/>
        <w:wordWrap/>
        <w:overflowPunct/>
        <w:topLinePunct w:val="0"/>
        <w:autoSpaceDE/>
        <w:autoSpaceDN/>
        <w:bidi w:val="0"/>
        <w:adjustRightInd/>
        <w:snapToGrid/>
        <w:jc w:val="center"/>
        <w:textAlignment w:val="auto"/>
        <w:rPr>
          <w:rFonts w:hint="eastAsia" w:ascii="宋体" w:hAnsi="宋体"/>
          <w:b/>
          <w:sz w:val="36"/>
          <w:szCs w:val="36"/>
        </w:rPr>
      </w:pPr>
      <w:r>
        <w:rPr>
          <w:rFonts w:hint="eastAsia" w:ascii="宋体" w:hAnsi="宋体"/>
          <w:b/>
          <w:sz w:val="36"/>
          <w:szCs w:val="36"/>
        </w:rPr>
        <w:t>第四部分 名词解释</w:t>
      </w:r>
    </w:p>
    <w:p w14:paraId="702D857E">
      <w:pPr>
        <w:jc w:val="center"/>
        <w:rPr>
          <w:rFonts w:hint="eastAsia" w:ascii="黑体" w:eastAsia="黑体"/>
          <w:sz w:val="36"/>
          <w:szCs w:val="36"/>
        </w:rPr>
      </w:pPr>
    </w:p>
    <w:p w14:paraId="7DC496B2">
      <w:pPr>
        <w:ind w:firstLine="643" w:firstLineChars="200"/>
        <w:jc w:val="left"/>
        <w:rPr>
          <w:rFonts w:hint="eastAsia"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指市级财政当年拨付的资金。</w:t>
      </w:r>
    </w:p>
    <w:p w14:paraId="40C6CEDF">
      <w:pPr>
        <w:ind w:firstLine="643" w:firstLineChars="200"/>
        <w:jc w:val="left"/>
        <w:rPr>
          <w:rFonts w:hint="eastAsia" w:ascii="仿宋_GB2312" w:eastAsia="仿宋_GB2312"/>
          <w:b/>
          <w:sz w:val="32"/>
          <w:szCs w:val="32"/>
        </w:rPr>
      </w:pPr>
      <w:r>
        <w:rPr>
          <w:rFonts w:hint="eastAsia" w:ascii="仿宋_GB2312" w:eastAsia="仿宋_GB2312"/>
          <w:b/>
          <w:sz w:val="32"/>
          <w:szCs w:val="32"/>
        </w:rPr>
        <w:t>2.上级补助收入：</w:t>
      </w:r>
      <w:r>
        <w:rPr>
          <w:rFonts w:hint="eastAsia" w:ascii="仿宋_GB2312" w:eastAsia="仿宋_GB2312"/>
          <w:sz w:val="32"/>
          <w:szCs w:val="32"/>
        </w:rPr>
        <w:t>指事业单位从主管部门和上级单位取得的非财政补助收入。</w:t>
      </w:r>
    </w:p>
    <w:p w14:paraId="66B7F070">
      <w:pPr>
        <w:ind w:firstLine="643" w:firstLineChars="200"/>
        <w:jc w:val="left"/>
        <w:rPr>
          <w:rFonts w:hint="eastAsia" w:ascii="仿宋_GB2312" w:eastAsia="仿宋_GB2312"/>
          <w:sz w:val="32"/>
          <w:szCs w:val="32"/>
        </w:rPr>
      </w:pPr>
      <w:bookmarkStart w:id="0" w:name="OLE_LINK1"/>
      <w:r>
        <w:rPr>
          <w:rFonts w:hint="eastAsia" w:ascii="仿宋_GB2312" w:eastAsia="仿宋_GB2312"/>
          <w:b/>
          <w:sz w:val="32"/>
          <w:szCs w:val="32"/>
        </w:rPr>
        <w:t>3.</w:t>
      </w:r>
      <w:bookmarkEnd w:id="0"/>
      <w:r>
        <w:rPr>
          <w:rFonts w:hint="eastAsia" w:ascii="仿宋_GB2312" w:eastAsia="仿宋_GB2312"/>
          <w:b/>
          <w:sz w:val="32"/>
          <w:szCs w:val="32"/>
        </w:rPr>
        <w:t>附属单位上缴收入：</w:t>
      </w:r>
      <w:r>
        <w:rPr>
          <w:rFonts w:hint="eastAsia" w:ascii="仿宋_GB2312" w:eastAsia="仿宋_GB2312"/>
          <w:sz w:val="32"/>
          <w:szCs w:val="32"/>
        </w:rPr>
        <w:t>指已纳入部门预算管理的独立核算的附属单位按照有关规定上缴的收入。</w:t>
      </w:r>
    </w:p>
    <w:p w14:paraId="6DC02ADD">
      <w:pPr>
        <w:ind w:firstLine="643" w:firstLineChars="200"/>
        <w:jc w:val="left"/>
        <w:rPr>
          <w:rFonts w:hint="eastAsia" w:ascii="仿宋_GB2312" w:eastAsia="仿宋_GB2312"/>
          <w:sz w:val="32"/>
          <w:szCs w:val="32"/>
        </w:rPr>
      </w:pPr>
      <w:r>
        <w:rPr>
          <w:rFonts w:hint="eastAsia" w:ascii="仿宋_GB2312" w:eastAsia="仿宋_GB2312"/>
          <w:b/>
          <w:sz w:val="32"/>
          <w:szCs w:val="32"/>
        </w:rPr>
        <w:t>4. 其他收入：</w:t>
      </w:r>
      <w:r>
        <w:rPr>
          <w:rFonts w:hint="eastAsia" w:ascii="仿宋_GB2312" w:eastAsia="仿宋_GB2312"/>
          <w:sz w:val="32"/>
          <w:szCs w:val="32"/>
        </w:rPr>
        <w:t>指除上述“财政拨款收入”、“纳入专户管理的预算外资金拨款”、“上级补助、附属单位上缴收入”以外的收入。</w:t>
      </w:r>
    </w:p>
    <w:p w14:paraId="52CF8E41">
      <w:pPr>
        <w:ind w:firstLine="643" w:firstLineChars="200"/>
        <w:jc w:val="left"/>
        <w:rPr>
          <w:rFonts w:hint="eastAsia" w:ascii="仿宋_GB2312" w:eastAsia="仿宋_GB2312"/>
          <w:b/>
          <w:sz w:val="32"/>
          <w:szCs w:val="32"/>
        </w:rPr>
      </w:pPr>
      <w:r>
        <w:rPr>
          <w:rFonts w:hint="eastAsia" w:ascii="仿宋_GB2312" w:eastAsia="仿宋_GB2312"/>
          <w:b/>
          <w:sz w:val="32"/>
          <w:szCs w:val="32"/>
        </w:rPr>
        <w:t>5.一般公共服务（类）财政事务（款）行政运行（项）：</w:t>
      </w:r>
      <w:r>
        <w:rPr>
          <w:rFonts w:hint="eastAsia" w:ascii="仿宋_GB2312" w:eastAsia="仿宋_GB2312"/>
          <w:sz w:val="32"/>
          <w:szCs w:val="32"/>
        </w:rPr>
        <w:t>反映行政单位（包括实行公务员管理的事业单位）的基本支出。</w:t>
      </w:r>
    </w:p>
    <w:p w14:paraId="2374DFF1">
      <w:pPr>
        <w:ind w:firstLine="643" w:firstLineChars="200"/>
        <w:jc w:val="left"/>
        <w:rPr>
          <w:rFonts w:hint="eastAsia" w:ascii="仿宋_GB2312" w:eastAsia="仿宋_GB2312"/>
          <w:b/>
          <w:sz w:val="32"/>
          <w:szCs w:val="32"/>
        </w:rPr>
      </w:pPr>
      <w:r>
        <w:rPr>
          <w:rFonts w:hint="eastAsia" w:ascii="仿宋_GB2312" w:eastAsia="仿宋_GB2312"/>
          <w:b/>
          <w:sz w:val="32"/>
          <w:szCs w:val="32"/>
        </w:rPr>
        <w:t>6.一般公共服务（类）财政事务（款）一般行政管理事务（项）：</w:t>
      </w:r>
      <w:r>
        <w:rPr>
          <w:rFonts w:hint="eastAsia" w:ascii="仿宋_GB2312" w:eastAsia="仿宋_GB2312"/>
          <w:sz w:val="32"/>
          <w:szCs w:val="32"/>
        </w:rPr>
        <w:t>反映行政单位（包括实行公务员管理的事业单位）未单独设置项级科目的其他项目支出。</w:t>
      </w:r>
    </w:p>
    <w:p w14:paraId="70601944">
      <w:pPr>
        <w:ind w:firstLine="643" w:firstLineChars="200"/>
        <w:jc w:val="left"/>
        <w:rPr>
          <w:rFonts w:hint="eastAsia" w:ascii="仿宋_GB2312" w:eastAsia="仿宋_GB2312"/>
          <w:b/>
          <w:sz w:val="32"/>
          <w:szCs w:val="32"/>
        </w:rPr>
      </w:pPr>
      <w:r>
        <w:rPr>
          <w:rFonts w:hint="eastAsia" w:ascii="仿宋_GB2312" w:eastAsia="仿宋_GB2312"/>
          <w:b/>
          <w:sz w:val="32"/>
          <w:szCs w:val="32"/>
        </w:rPr>
        <w:t>7.一般公共服务（类）财政事务（款）预算改革业务（项）：</w:t>
      </w:r>
      <w:r>
        <w:rPr>
          <w:rFonts w:hint="eastAsia" w:ascii="仿宋_GB2312" w:eastAsia="仿宋_GB2312"/>
          <w:sz w:val="32"/>
          <w:szCs w:val="32"/>
        </w:rPr>
        <w:t>反映财政部门用于预算改革方面的支出。</w:t>
      </w:r>
    </w:p>
    <w:p w14:paraId="1798EB4F">
      <w:pPr>
        <w:ind w:firstLine="643" w:firstLineChars="200"/>
        <w:jc w:val="left"/>
        <w:rPr>
          <w:rFonts w:hint="eastAsia" w:ascii="仿宋_GB2312" w:eastAsia="仿宋_GB2312"/>
          <w:b/>
          <w:sz w:val="32"/>
          <w:szCs w:val="32"/>
        </w:rPr>
      </w:pPr>
      <w:r>
        <w:rPr>
          <w:rFonts w:hint="eastAsia" w:ascii="仿宋_GB2312" w:eastAsia="仿宋_GB2312"/>
          <w:b/>
          <w:sz w:val="32"/>
          <w:szCs w:val="32"/>
        </w:rPr>
        <w:t>8.一般公共服务（类）财政事务（款）财政国库业务（项）：</w:t>
      </w:r>
      <w:r>
        <w:rPr>
          <w:rFonts w:hint="eastAsia" w:ascii="仿宋_GB2312" w:eastAsia="仿宋_GB2312"/>
          <w:sz w:val="32"/>
          <w:szCs w:val="32"/>
        </w:rPr>
        <w:t>反映财政部门用于财政国库集中收付业务方面的支出。</w:t>
      </w:r>
    </w:p>
    <w:p w14:paraId="5A69E037">
      <w:pPr>
        <w:ind w:firstLine="643" w:firstLineChars="200"/>
        <w:jc w:val="left"/>
        <w:rPr>
          <w:rFonts w:hint="eastAsia" w:ascii="仿宋_GB2312" w:eastAsia="仿宋_GB2312"/>
          <w:b/>
          <w:sz w:val="32"/>
          <w:szCs w:val="32"/>
        </w:rPr>
      </w:pPr>
      <w:r>
        <w:rPr>
          <w:rFonts w:hint="eastAsia" w:ascii="仿宋_GB2312" w:eastAsia="仿宋_GB2312"/>
          <w:b/>
          <w:sz w:val="32"/>
          <w:szCs w:val="32"/>
        </w:rPr>
        <w:t>9.一般公共服务（类）财政事务（款）事业运行（项）：</w:t>
      </w:r>
      <w:r>
        <w:rPr>
          <w:rFonts w:hint="eastAsia" w:ascii="仿宋_GB2312" w:eastAsia="仿宋_GB2312"/>
          <w:sz w:val="32"/>
          <w:szCs w:val="32"/>
        </w:rPr>
        <w:t>反映事业单位的基本支出，不包括行政单位（包括实行公务员管理的事业单位）后勤服务中心、医务室等附属事业单位。</w:t>
      </w:r>
    </w:p>
    <w:p w14:paraId="0ABF9515">
      <w:pPr>
        <w:ind w:firstLine="643" w:firstLineChars="200"/>
        <w:jc w:val="left"/>
        <w:rPr>
          <w:rFonts w:hint="eastAsia" w:ascii="仿宋_GB2312" w:eastAsia="仿宋_GB2312"/>
          <w:sz w:val="32"/>
          <w:szCs w:val="32"/>
        </w:rPr>
      </w:pPr>
      <w:r>
        <w:rPr>
          <w:rFonts w:hint="eastAsia" w:ascii="仿宋_GB2312" w:eastAsia="仿宋_GB2312"/>
          <w:b/>
          <w:sz w:val="32"/>
          <w:szCs w:val="32"/>
        </w:rPr>
        <w:t>10.一般公共服务（类）财政事务（款）其他财政事务支出（项）：</w:t>
      </w:r>
      <w:r>
        <w:rPr>
          <w:rFonts w:hint="eastAsia" w:ascii="仿宋_GB2312" w:eastAsia="仿宋_GB2312"/>
          <w:sz w:val="32"/>
          <w:szCs w:val="32"/>
        </w:rPr>
        <w:t>反映除上述项目以外其他财政事务方面的支出。</w:t>
      </w:r>
    </w:p>
    <w:p w14:paraId="222B682C">
      <w:pPr>
        <w:ind w:firstLine="643" w:firstLineChars="200"/>
        <w:jc w:val="left"/>
        <w:rPr>
          <w:rFonts w:hint="eastAsia" w:ascii="仿宋_GB2312" w:eastAsia="仿宋_GB2312"/>
          <w:b/>
          <w:sz w:val="32"/>
          <w:szCs w:val="32"/>
        </w:rPr>
      </w:pPr>
      <w:r>
        <w:rPr>
          <w:rFonts w:hint="eastAsia" w:ascii="仿宋_GB2312" w:eastAsia="仿宋_GB2312"/>
          <w:b/>
          <w:sz w:val="32"/>
          <w:szCs w:val="32"/>
        </w:rPr>
        <w:t>11.社会保障和就业（类）行政事业单位离退休（款）归口管理的行政单位离退休（项）：</w:t>
      </w:r>
      <w:r>
        <w:rPr>
          <w:rFonts w:hint="eastAsia" w:ascii="仿宋_GB2312" w:eastAsia="仿宋_GB2312"/>
          <w:sz w:val="32"/>
          <w:szCs w:val="32"/>
        </w:rPr>
        <w:t>反映实行归口管理的行政单位（包括实行公务员管理的事业单位）开支的离退休经费。</w:t>
      </w:r>
    </w:p>
    <w:p w14:paraId="6C36CBA3">
      <w:pPr>
        <w:ind w:firstLine="643" w:firstLineChars="200"/>
        <w:jc w:val="left"/>
        <w:rPr>
          <w:rFonts w:hint="eastAsia" w:ascii="仿宋_GB2312" w:eastAsia="仿宋_GB2312"/>
          <w:b/>
          <w:sz w:val="32"/>
          <w:szCs w:val="32"/>
        </w:rPr>
      </w:pPr>
      <w:r>
        <w:rPr>
          <w:rFonts w:hint="eastAsia" w:ascii="仿宋_GB2312" w:eastAsia="仿宋_GB2312"/>
          <w:b/>
          <w:sz w:val="32"/>
          <w:szCs w:val="32"/>
        </w:rPr>
        <w:t>12.社会保障和就业（类）行政事业单位离退休（款）事业单位离退休（项）：</w:t>
      </w:r>
      <w:r>
        <w:rPr>
          <w:rFonts w:hint="eastAsia" w:ascii="仿宋_GB2312" w:eastAsia="仿宋_GB2312"/>
          <w:sz w:val="32"/>
          <w:szCs w:val="32"/>
        </w:rPr>
        <w:t>反映实行归口管理的事业单位开支的离退休经费。</w:t>
      </w:r>
    </w:p>
    <w:p w14:paraId="687DD4C8">
      <w:pPr>
        <w:ind w:firstLine="643" w:firstLineChars="200"/>
        <w:jc w:val="left"/>
        <w:rPr>
          <w:rFonts w:hint="eastAsia" w:ascii="仿宋_GB2312" w:eastAsia="仿宋_GB2312"/>
          <w:sz w:val="32"/>
          <w:szCs w:val="32"/>
        </w:rPr>
      </w:pPr>
      <w:r>
        <w:rPr>
          <w:rFonts w:hint="eastAsia" w:ascii="仿宋_GB2312" w:eastAsia="仿宋_GB2312"/>
          <w:b/>
          <w:sz w:val="32"/>
          <w:szCs w:val="32"/>
        </w:rPr>
        <w:t>13.医疗卫生与计划生育（类）医疗保障（款）行政单位医疗（项）：</w:t>
      </w:r>
      <w:r>
        <w:rPr>
          <w:rFonts w:hint="eastAsia" w:ascii="仿宋_GB2312" w:eastAsia="仿宋_GB2312"/>
          <w:sz w:val="32"/>
          <w:szCs w:val="32"/>
        </w:rPr>
        <w:t>反映财政部门集中安排的行政单位基本医疗保险缴费经费，未参加医疗保险的行政单位的公费医疗经费，按国家规定享受离休人员、红军老战士待遇人员的医疗经费。</w:t>
      </w:r>
    </w:p>
    <w:p w14:paraId="1AB0BAA0">
      <w:pPr>
        <w:ind w:firstLine="643" w:firstLineChars="200"/>
        <w:jc w:val="left"/>
        <w:rPr>
          <w:rFonts w:hint="eastAsia" w:ascii="仿宋_GB2312" w:eastAsia="仿宋_GB2312"/>
          <w:sz w:val="32"/>
          <w:szCs w:val="32"/>
        </w:rPr>
      </w:pPr>
      <w:r>
        <w:rPr>
          <w:rFonts w:hint="eastAsia" w:ascii="仿宋_GB2312" w:eastAsia="仿宋_GB2312"/>
          <w:b/>
          <w:sz w:val="32"/>
          <w:szCs w:val="32"/>
        </w:rPr>
        <w:t>14.医疗卫生与计划生育（类）医疗保障（款）事业单位医疗（项）：</w:t>
      </w:r>
      <w:r>
        <w:rPr>
          <w:rFonts w:hint="eastAsia" w:ascii="仿宋_GB2312" w:eastAsia="仿宋_GB2312"/>
          <w:sz w:val="32"/>
          <w:szCs w:val="32"/>
        </w:rPr>
        <w:t>反映财政部门集中安排的事业单位基本医疗保险缴费经费，未参加医疗保险的事业单位的公费医疗经费，按国家规定享受离休人员待遇人员的医疗经费。</w:t>
      </w:r>
    </w:p>
    <w:p w14:paraId="12047C08">
      <w:pPr>
        <w:ind w:firstLine="643" w:firstLineChars="200"/>
        <w:jc w:val="left"/>
        <w:rPr>
          <w:rFonts w:hint="eastAsia" w:ascii="仿宋_GB2312" w:eastAsia="仿宋_GB2312"/>
          <w:b/>
          <w:sz w:val="32"/>
          <w:szCs w:val="32"/>
        </w:rPr>
      </w:pPr>
      <w:r>
        <w:rPr>
          <w:rFonts w:hint="eastAsia" w:ascii="仿宋_GB2312" w:eastAsia="仿宋_GB2312"/>
          <w:b/>
          <w:sz w:val="32"/>
          <w:szCs w:val="32"/>
        </w:rPr>
        <w:t>15.住房保障（类）住房改革（款）住房公积金（项）：</w:t>
      </w:r>
      <w:r>
        <w:rPr>
          <w:rFonts w:hint="eastAsia" w:ascii="仿宋_GB2312" w:eastAsia="仿宋_GB2312"/>
          <w:sz w:val="32"/>
          <w:szCs w:val="32"/>
        </w:rPr>
        <w:t>反映行政事业单位按人力资源和社会保障部、财政部规定的基本工资和津贴补贴以及规定比例为职工缴纳的住房公积金。</w:t>
      </w:r>
    </w:p>
    <w:p w14:paraId="41C1EE07">
      <w:pPr>
        <w:ind w:firstLine="643" w:firstLineChars="200"/>
        <w:jc w:val="left"/>
        <w:rPr>
          <w:rFonts w:hint="eastAsia" w:ascii="仿宋_GB2312" w:eastAsia="仿宋_GB2312"/>
          <w:b/>
          <w:sz w:val="32"/>
          <w:szCs w:val="32"/>
        </w:rPr>
      </w:pPr>
      <w:r>
        <w:rPr>
          <w:rFonts w:hint="eastAsia" w:ascii="仿宋_GB2312" w:eastAsia="仿宋_GB2312"/>
          <w:b/>
          <w:sz w:val="32"/>
          <w:szCs w:val="32"/>
        </w:rPr>
        <w:t>16. 基本支出：</w:t>
      </w:r>
      <w:r>
        <w:rPr>
          <w:rFonts w:hint="eastAsia" w:ascii="仿宋_GB2312" w:eastAsia="仿宋_GB2312"/>
          <w:sz w:val="32"/>
          <w:szCs w:val="32"/>
        </w:rPr>
        <w:t>指保障机构正常运转、完成日常工作任务而发生的人员支出和公用支出。</w:t>
      </w:r>
    </w:p>
    <w:p w14:paraId="2BEA7380">
      <w:pPr>
        <w:ind w:firstLine="643" w:firstLineChars="200"/>
        <w:jc w:val="left"/>
        <w:rPr>
          <w:rFonts w:hint="eastAsia" w:ascii="仿宋_GB2312" w:eastAsia="仿宋_GB2312"/>
          <w:sz w:val="32"/>
          <w:szCs w:val="32"/>
        </w:rPr>
      </w:pPr>
      <w:r>
        <w:rPr>
          <w:rFonts w:hint="eastAsia" w:ascii="仿宋_GB2312" w:eastAsia="仿宋_GB2312"/>
          <w:b/>
          <w:sz w:val="32"/>
          <w:szCs w:val="32"/>
        </w:rPr>
        <w:t>17.</w:t>
      </w:r>
      <w:r>
        <w:rPr>
          <w:rFonts w:hint="eastAsia" w:ascii="仿宋_GB2312" w:eastAsia="仿宋_GB2312"/>
          <w:sz w:val="32"/>
          <w:szCs w:val="32"/>
        </w:rPr>
        <w:t xml:space="preserve"> </w:t>
      </w:r>
      <w:r>
        <w:rPr>
          <w:rFonts w:hint="eastAsia" w:ascii="仿宋_GB2312" w:eastAsia="仿宋_GB2312"/>
          <w:b/>
          <w:sz w:val="32"/>
          <w:szCs w:val="32"/>
        </w:rPr>
        <w:t>项目支出：</w:t>
      </w:r>
      <w:r>
        <w:rPr>
          <w:rFonts w:hint="eastAsia" w:ascii="仿宋_GB2312" w:eastAsia="仿宋_GB2312"/>
          <w:sz w:val="32"/>
          <w:szCs w:val="32"/>
        </w:rPr>
        <w:t>指在基本支出之外为完成特定行政任务和事业发展目标所发生的支出。</w:t>
      </w:r>
    </w:p>
    <w:p w14:paraId="64CC685E">
      <w:pPr>
        <w:ind w:firstLine="643" w:firstLineChars="200"/>
        <w:jc w:val="left"/>
        <w:rPr>
          <w:rFonts w:hint="eastAsia" w:ascii="仿宋_GB2312" w:eastAsia="仿宋_GB2312"/>
          <w:sz w:val="32"/>
          <w:szCs w:val="32"/>
        </w:rPr>
      </w:pPr>
      <w:r>
        <w:rPr>
          <w:rFonts w:hint="eastAsia" w:ascii="仿宋_GB2312" w:eastAsia="仿宋_GB2312"/>
          <w:b/>
          <w:sz w:val="32"/>
          <w:szCs w:val="32"/>
        </w:rPr>
        <w:t>18.“三公”经费：</w:t>
      </w:r>
      <w:r>
        <w:rPr>
          <w:rFonts w:hint="eastAsia" w:ascii="仿宋_GB2312" w:eastAsia="仿宋_GB2312"/>
          <w:sz w:val="32"/>
          <w:szCs w:val="32"/>
        </w:rPr>
        <w:t>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7B43B9E3">
      <w:pPr>
        <w:ind w:firstLine="643" w:firstLineChars="200"/>
        <w:jc w:val="left"/>
        <w:rPr>
          <w:rFonts w:hint="eastAsia" w:ascii="仿宋_GB2312" w:eastAsia="仿宋_GB2312"/>
          <w:b/>
          <w:sz w:val="32"/>
          <w:szCs w:val="32"/>
        </w:rPr>
      </w:pPr>
      <w:r>
        <w:rPr>
          <w:rFonts w:hint="eastAsia" w:ascii="仿宋_GB2312" w:eastAsia="仿宋_GB2312"/>
          <w:b/>
          <w:sz w:val="32"/>
          <w:szCs w:val="32"/>
        </w:rPr>
        <w:t>19.机关运行经费：</w:t>
      </w:r>
      <w:r>
        <w:rPr>
          <w:rFonts w:hint="eastAsia" w:ascii="仿宋_GB2312" w:eastAsia="仿宋_GB2312"/>
          <w:sz w:val="32"/>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4519E95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Calibri Light">
    <w:altName w:val="Calibri"/>
    <w:panose1 w:val="020F0302020204030204"/>
    <w:charset w:val="00"/>
    <w:family w:val="swiss"/>
    <w:pitch w:val="default"/>
    <w:sig w:usb0="00000000" w:usb1="00000000" w:usb2="00000000" w:usb3="00000000" w:csb0="2000019F" w:csb1="00000000"/>
  </w:font>
  <w:font w:name="Verdana">
    <w:panose1 w:val="020B0604030504040204"/>
    <w:charset w:val="00"/>
    <w:family w:val="swiss"/>
    <w:pitch w:val="default"/>
    <w:sig w:usb0="A10006FF" w:usb1="4000205B" w:usb2="0000001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7BD27B">
    <w:pPr>
      <w:pStyle w:val="3"/>
      <w:framePr w:wrap="around" w:vAnchor="text" w:hAnchor="margin" w:xAlign="center" w:y="1"/>
      <w:rPr>
        <w:rStyle w:val="8"/>
      </w:rPr>
    </w:pPr>
    <w:r>
      <w:rPr>
        <w:rStyle w:val="8"/>
      </w:rPr>
      <w:fldChar w:fldCharType="begin"/>
    </w:r>
    <w:r>
      <w:rPr>
        <w:rStyle w:val="8"/>
      </w:rPr>
      <w:instrText xml:space="preserve">PAGE  </w:instrText>
    </w:r>
    <w:r>
      <w:rPr>
        <w:rStyle w:val="8"/>
      </w:rPr>
      <w:fldChar w:fldCharType="separate"/>
    </w:r>
    <w:r>
      <w:rPr>
        <w:rStyle w:val="8"/>
      </w:rPr>
      <w:t>27</w:t>
    </w:r>
    <w:r>
      <w:rPr>
        <w:rStyle w:val="8"/>
      </w:rPr>
      <w:fldChar w:fldCharType="end"/>
    </w:r>
  </w:p>
  <w:p w14:paraId="641AEC16">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1FF814">
    <w:pPr>
      <w:pStyle w:val="3"/>
      <w:framePr w:wrap="around" w:vAnchor="text" w:hAnchor="margin" w:xAlign="center" w:y="1"/>
      <w:rPr>
        <w:rStyle w:val="8"/>
      </w:rPr>
    </w:pPr>
    <w:r>
      <w:rPr>
        <w:rStyle w:val="8"/>
      </w:rPr>
      <w:fldChar w:fldCharType="begin"/>
    </w:r>
    <w:r>
      <w:rPr>
        <w:rStyle w:val="8"/>
      </w:rPr>
      <w:instrText xml:space="preserve">PAGE  </w:instrText>
    </w:r>
    <w:r>
      <w:rPr>
        <w:rStyle w:val="8"/>
      </w:rPr>
      <w:fldChar w:fldCharType="end"/>
    </w:r>
  </w:p>
  <w:p w14:paraId="44E057DD">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51382C">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548F8C">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D5D64E">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5B1A20">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30B37B3"/>
    <w:multiLevelType w:val="multilevel"/>
    <w:tmpl w:val="730B37B3"/>
    <w:lvl w:ilvl="0" w:tentative="0">
      <w:start w:val="1"/>
      <w:numFmt w:val="japaneseCounting"/>
      <w:lvlText w:val="%1、"/>
      <w:lvlJc w:val="left"/>
      <w:pPr>
        <w:tabs>
          <w:tab w:val="left" w:pos="720"/>
        </w:tabs>
        <w:ind w:left="720" w:hanging="720"/>
      </w:pPr>
      <w:rPr>
        <w:rFonts w:hint="default"/>
      </w:rPr>
    </w:lvl>
    <w:lvl w:ilvl="1" w:tentative="0">
      <w:start w:val="2"/>
      <w:numFmt w:val="japaneseCounting"/>
      <w:lvlText w:val="%2、"/>
      <w:lvlJc w:val="left"/>
      <w:pPr>
        <w:tabs>
          <w:tab w:val="left" w:pos="1140"/>
        </w:tabs>
        <w:ind w:left="1140" w:hanging="72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dmMjdjYmRiN2Q1MGE0ZDgyNWFkNjMwNzllZmNjMjkifQ=="/>
  </w:docVars>
  <w:rsids>
    <w:rsidRoot w:val="02776511"/>
    <w:rsid w:val="011C03CE"/>
    <w:rsid w:val="02776511"/>
    <w:rsid w:val="052B5E5E"/>
    <w:rsid w:val="0551211C"/>
    <w:rsid w:val="20E5722F"/>
    <w:rsid w:val="2893704F"/>
    <w:rsid w:val="2EAB5A01"/>
    <w:rsid w:val="397D6EA7"/>
    <w:rsid w:val="46E412DB"/>
    <w:rsid w:val="5A165968"/>
    <w:rsid w:val="5CDB15F3"/>
    <w:rsid w:val="5F41433A"/>
    <w:rsid w:val="704D0AD4"/>
    <w:rsid w:val="74202678"/>
    <w:rsid w:val="7B547F45"/>
    <w:rsid w:val="7DF15D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9"/>
    <w:pPr>
      <w:keepNext/>
      <w:keepLines/>
      <w:ind w:firstLine="200" w:firstLineChars="200"/>
      <w:outlineLvl w:val="1"/>
    </w:pPr>
    <w:rPr>
      <w:rFonts w:ascii="楷体_GB2312" w:hAnsi="Calibri Light" w:eastAsia="楷体_GB2312"/>
      <w:bCs/>
      <w:szCs w:val="32"/>
    </w:rPr>
  </w:style>
  <w:style w:type="character" w:default="1" w:styleId="6">
    <w:name w:val="Default Paragraph Font"/>
    <w:link w:val="7"/>
    <w:semiHidden/>
    <w:qFormat/>
    <w:uiPriority w:val="0"/>
    <w:rPr>
      <w:rFonts w:ascii="Verdana" w:hAnsi="Verdana" w:eastAsia="仿宋_GB2312"/>
      <w:kern w:val="0"/>
      <w:sz w:val="28"/>
      <w:szCs w:val="20"/>
      <w:lang w:eastAsia="en-US"/>
    </w:rPr>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
    <w:name w:val="_Style 2"/>
    <w:basedOn w:val="1"/>
    <w:link w:val="6"/>
    <w:qFormat/>
    <w:uiPriority w:val="0"/>
    <w:pPr>
      <w:widowControl/>
      <w:jc w:val="left"/>
    </w:pPr>
    <w:rPr>
      <w:rFonts w:ascii="Verdana" w:hAnsi="Verdana" w:eastAsia="仿宋_GB2312"/>
      <w:kern w:val="0"/>
      <w:sz w:val="28"/>
      <w:szCs w:val="20"/>
      <w:lang w:eastAsia="en-US"/>
    </w:rPr>
  </w:style>
  <w:style w:type="character" w:styleId="8">
    <w:name w:val="page number"/>
    <w:basedOn w:val="6"/>
    <w:qFormat/>
    <w:uiPriority w:val="0"/>
  </w:style>
  <w:style w:type="paragraph" w:styleId="9">
    <w:name w:val="No Spacing"/>
    <w:next w:val="1"/>
    <w:qFormat/>
    <w:uiPriority w:val="1"/>
    <w:pPr>
      <w:widowControl w:val="0"/>
      <w:ind w:firstLine="200" w:firstLineChars="200"/>
      <w:jc w:val="both"/>
    </w:pPr>
    <w:rPr>
      <w:rFonts w:ascii="仿宋_GB2312" w:hAnsi="宋体" w:eastAsia="仿宋_GB2312" w:cs="Times New Roman"/>
      <w:kern w:val="2"/>
      <w:sz w:val="3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5794</Words>
  <Characters>5949</Characters>
  <Lines>0</Lines>
  <Paragraphs>0</Paragraphs>
  <TotalTime>0</TotalTime>
  <ScaleCrop>false</ScaleCrop>
  <LinksUpToDate>false</LinksUpToDate>
  <CharactersWithSpaces>6010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2021-01-12T07:40:00Z</dcterms:created>
  <dc:creator>不靠谱@多肉圈儿</dc:creator>
  <cp:lastModifiedBy>杨洋</cp:lastModifiedBy>
  <cp:lastPrinted>2021-01-12T07:52:00Z</cp:lastPrinted>
  <dcterms:modified xsi:type="dcterms:W3CDTF">2026-02-09T00:56:31Z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AAD0E803BD174C76A741DA39F4715A2A</vt:lpwstr>
  </property>
  <property fmtid="{D5CDD505-2E9C-101B-9397-08002B2CF9AE}" pid="4" name="KSOTemplateDocerSaveRecord">
    <vt:lpwstr>eyJoZGlkIjoiNzZiZTQ3ZmI1OTFmODUzNzgwMGRlNDBmMWZiZDQzMjEiLCJ1c2VySWQiOiIyMzQ0MjI2NjQifQ==</vt:lpwstr>
  </property>
</Properties>
</file>